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编号：JSZC-320505-DLHX-C2026-0001号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苏州市政府采购竞争性磋商文件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采购单位：苏州浒墅关经济技术开发区安全生产监督管理局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采购内容：2026年度浒墅关经开区（镇）土壤污染状况调查年度服务项目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采购类别：服务类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苏州华厦招投标代理有限公司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二0二六年一月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目录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竞争性磋商邀请函</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竞争性磋商文件</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合同主要条款</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竞争性磋商程序及磋商小组成员组成</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p>
      <w:pPr>
        <w:numPr>
          <w:ilvl w:val="0"/>
          <w:numId w:val="10"/>
        </w:numPr>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一、竞争性磋商邀请函</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2026年度浒墅关经开区（镇）土壤污染状况调查年度服务项目 JSZC-320505-DLHX-C2026-0001 采购项目的潜在供应商应在苏采云系统 获取采购文件，并于2026-01-21 10:30 （北京时间）前提交响应文件。</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项目编号：JSZC-320505-DLHX-C2026-0001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项目名称：2026年度浒墅关经开区（镇）土壤污染状况调查年度服务项目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预算金额：200.000000万元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最高限价（如有）：项目按固定优惠率报价，最高100%，结算时按照成交固定优惠后单价、实际检测和服务内容、数量及结算依据按实结算。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须根据国家或地方相关技术规范，开展地块土壤污染状况调查(初步调查、详细调查、现状摸底调查)或土壤污染风险评估，主要内容和标准须满足所有相关政策文件，主要包括但不限于：调查方案编制、地块历史资料收集、现场踏勘、人员访谈、样品采集、土壤现场快速筛查、土壤及地下水样品实验室检测，土壤污染状况调查报告或风险评估报告编制、专家评审及备案等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具体详见采购文件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自合同签订之日至2026年12月31日。如最终实际累计结算费用达到预算金额或服务至2026年12月31日，以先到者为准，本合同宣告结束后，采购人如有其他类似需求，将依据相关规定再行采购。如已委托项目尚未完成，则合同有效期延长至该项目结束成交单位履行完毕全部义务为止。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本项目（是/否）接受联合体：是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2.良好的商业信誉和健全的财务会计制度； 3.具有履行合同所必须的设备和专业技术能力； 4.有依法缴纳税收和社会保障资金的良好记录； 5.参加政府采购活动前三年内，在经营活动中没有重大违法记录； 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1.根据《政府采购促进中小企业发展管理办法》的相关规定，本项目专门面向中小企业，所属行业为其他未列明行业，承接服务的响应单位应为中小微企业或监狱企业或残疾人福利性单位。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1.未被“信用中国”网站（www.creditchina.gov.cn）列入失信被执行人、重大税收违法案件当事人名单、政府采购严重失信行为记录名单。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3.如以联合体方式投标，联合体的各成员单位应共同签署联合体投标协议，且组成项目联合体的各成员单位不得再以自身名义单独或作为其他联合体成员参与报名。本项目最多允许两家单位组成联合体进行投标。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截止时间：2026-01-21 10:30 （北京时间）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时间：2026-01-21 10:30 （北京时间）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地点：苏州市市辖区【狮山科技馆】不见面开标室（虚拟开标室）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b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w:t>
      </w:r>
      <w:r>
        <w:rPr>
          <w:rFonts w:ascii="SimSun" w:hAnsi="SimSun" w:eastAsia="SimSun" w:cs="SimSun"/>
          <w:color w:val="000000"/>
          <w:sz w:val="24"/>
        </w:rPr>
        <w:t xml:space="preserve">37699。</w:t>
        <w:br/>
        <w:t xml:space="preserve">2、参与采购活动</w:t>
        <w:b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br/>
        <w:t xml:space="preserve">3、电子投标准备</w:t>
        <w:br/>
        <w:t xml:space="preserve">供应商</w:t>
      </w:r>
      <w:r>
        <w:rPr>
          <w:rFonts w:ascii="SimSun" w:hAnsi="SimSun" w:eastAsia="SimSun" w:cs="SimSun"/>
          <w:color w:val="000000"/>
          <w:sz w:val="24"/>
        </w:rPr>
        <w:t xml:space="preserve">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br/>
        <w:t xml:space="preserve">在系统操作过程中如有疑问，请按以下方式联系：</w:t>
        <w:br/>
        <w:t xml:space="preserve">注册咨询：13914088964；</w:t>
        <w:br/>
        <w:t xml:space="preserve">CA技术咨询电话：400-608-6099；</w:t>
        <w:br/>
        <w:t xml:space="preserve">签章使用问题：025-8363381</w:t>
      </w:r>
      <w:r>
        <w:rPr>
          <w:rFonts w:ascii="SimSun" w:hAnsi="SimSun" w:eastAsia="SimSun" w:cs="SimSun"/>
          <w:color w:val="000000"/>
          <w:sz w:val="24"/>
        </w:rPr>
        <w:t xml:space="preserve">1、025-83633812、15380932027、15371015030；</w:t>
        <w:br/>
        <w:t xml:space="preserve">系统使用指导与咨询：联系电话：13914088964；智能客服：登录苏采云系统后，联系系统右下方智能客服图标进行咨询。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CA证书解密电子响应文件，如在系统规定的解密时间内未能完成解密的视为放弃投标。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请供应商确保电脑、系统及其他设备（视频输入输出设备等）无误，且开标直至项目结束始终保持系统在线状态。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单位名称：苏州浒墅关经济技术开发区安全生产监督管理局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单位地址：苏州高新区名墅巷1号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联系人：闻雯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联系电话：0512-68016113</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单位名称：苏州华厦招投标代理有限公司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单位地址：江苏省苏州市高新区锦峰路198号纽威大厦8楼801室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联系人：房仁珺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联系电话：15806200810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项目联系人：房仁珺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电话：15806200810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二、苏州市政府采购竞争性磋商文件</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一、磋商编号：JSZC-320505-DLHX-C2026-0001号</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二、磋商响应单位资质要求:</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1.响应单位资质要求: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（2）良好的商业信誉和健全的财务会计制度；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（3）具有履行合同所必须的设备和专业技术能力；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注：此次招标接受联合投标。</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三、项目概述及采购要求：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（一）调查范围和调查目的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次土壤污染状况调查的主要目的是针对地块开展土壤污染状况调查(初步调查、详细调查或现状摸底调查),编制土壤污染状况调查报告。若初步调查结果显示地块满足规划用地土壤环境质量要求则调查任务结束，否则还应对地块开展详细调查，并编制调查报告。若详细调查结果显示，场地内污染物浓度超过国家和地方等相关标准或建设用地土壤污染风险管控标准的，应当进一步开展土壤污染风险评估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1、服务工作内容构成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须根据国家或地方相关技术规范，开展地块土壤污染状况调查(初步调查、详细调查、现状摸底调查)或土壤污染风险评估，主要内容和标准须满足所有相关政策文件，主要包括但不限于：调查方案编制、地块历史资料收集、现场踏勘、人员访谈、样品采集、土壤现场快速筛查、土壤及地下水样品实验室检测，土壤污染状况调查报告或风险评估报告编制、专家评审及备案等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(1)收集、了解场地现状与历史情况、场地环境资料、场地相关记录；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(2)收集场地利用变迁资料；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(3)了解相邻场地、周围区域的现状与历史情况；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(4)对地质、水文地质勘察和地形调查；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(5)整理场地及周边环境状况和敏感目标；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(6)出具调查布点方案设计、采样方案及质量保证计划并通过专家评审；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(7)土壤和地下水采样及分析；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(8)调查结果分析；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(9)出具符合要求的场地土壤污染状况调查报告；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(10)通过土壤污染状况调查报告专家评审会；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(11)出具符合要求的土壤污染风险评估报告(根据需要编制)。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(12)本项目在方案设计、现场实施的过程中涉及到：取样方案的优化设计、现场机械取样施工安全、水文地质勘查、场地污染源识别等工作。</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2、工作要求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(1)成交单位应按照国家、江苏省、苏州市、苏州高新区场地调查的相关规范、规定等，完成要求工作。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(2)开展全面的现场踏勘与调查工作，摸清地块内污染(源)的基本情况，识别项目地块内各类污染(源)以及历史/当前的活动对场地环境质量(土壤及地下水)可能造成的影响。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(3)土壤及地下水布点合理，满足国家、省、市相关要求，科学选择监测因子，土壤及地下水监测因子要满足相关技术要求及管理规定。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单位自行采样，也可选择有能力的采样单位，但无论自行采样或选定的采样单位必须具有以下条件：必须具有Geoprobe或类似Geoprobe的土壤及地下水采样专业设备1台以上（含1台）并采用该类设备进行土壤样品采集、地下水监测井建设。现场要采取一定的质量控制措施，客观反映场地环境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在调查期间应加强对方案编制环节、样品采集、制备、保存、流转和分析等环节的管理，上述环节中如出现违反国家法律法规、违反行业规定，或者弄虚作假，采购单位会对成交单位予以警告直至不再对其进行委托，并保留追究造成采购单位损失的责任。</w:t>
      </w:r>
      <w:r/>
    </w:p>
    <w:p>
      <w:pPr>
        <w:ind w:left="0" w:right="0" w:firstLine="48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(6)成交单位可自行选择有资质有能力的检测单位，并签订协议，成交单位选定的检测单位必须具有国家计量认证合格资质（CMA）。</w:t>
      </w:r>
      <w:r/>
    </w:p>
    <w:p>
      <w:pPr>
        <w:ind w:left="0" w:right="0" w:firstLine="48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单位出具的调查报告均应附从业人员责任页，明确项目负责人，各分项工作承担者，从业单位应建立内部审核制度，明确报告的审核人、审定人，上述人员均需亲笔签字确认。另外成交单位和检测单位的营业执照、资质证明等文件也应作为附件附在调查报告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成交单位应加强对场地调查资料的保管，并按采购单位的要求进行项目公示、上传国家相关管理系统等，及时提供资料调用、审核等需求；并应配合采购单位完成调查评估报告的评审申请和后续审核备案等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单位应切实履行保密义务，未经采购单位许可不得向第三方提供本项目的相关技术资料和数据。采购结束后，成交单位应退还采购单位在采购过程中提供的所有相关资料。未经采购单位允许，成交单位不得擅自将履行合同过程中所获得的关于甲方以及所调查项目的一切相关技术资料和数据对外公开，不允许在采购单位未许可的条件下发表与本合同相关的论文、看法、著作等。因成交单位责任造成相关技术资料和数据外泄所引起的一切后果由成交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合同履行期限：自合同签订之日至2026年12月31日。如最终实际累计结算费用达到预算金额或服务至2026年12月31日，以先到者为准，本合同宣告结束后，采购人如有其他类似需求，将依据相关规定再行采购。如已委托项目尚未完成，则合同有效期延长至该项目结束成交单位履行完毕全部义务为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（三）技术标准要求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土壤污染状况调查工作依据国家和江苏省、苏州市建设用地土壤污染调查等相关政策法律和标准导则。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具体编制依据、规范如下：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《中华人民共和国土壤污染防治法》（主席令 第八号）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《土壤污染防治行动计划》（国发〔2016〕31号）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《苏州市土壤污染防治工作方案》（苏府〔2017〕102号）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《苏州高新区（虎丘区）土壤污染防治工作方案》（苏高新管〔2017〕194号）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《污染地块土壤环境管理办法（试行）》（环保部令 第42号）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《建设用地土壤污染状况调查 技术导则》（HJ25.1-2019）</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《建设用地土壤污染风险管控和修复 监测技术导则》（HJ25.2-2019）</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《建设用地土壤环境调查评估技术指南》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《工矿用地土壤环境管理办法(试行)》（部令 第3号）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《江苏省环境监测专业服务收费管理办法与收费标准》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《土壤环境质量建设用地土壤污染风险管控标准（试行）》（GB36600-2018）</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《地下水质量标准》（GB/T 14848-2017）</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《污染场地岩土工程勘察标准》（HG/T 20717-2019）</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《城市用地分类与规划建设用地标准》（GB50137-2011）</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注：以上依据若相关部门已发布最新标准，按最新标准执行。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（四）浒墅关经开区（镇）土壤污染状况调查费用构成、结算依据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1：土壤及地下水初步调查或现状摸底调查费用限价表如下：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 土壤污染状况初步调查或现状摸底调查计费表（万元）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1"/>
        <w:gridCol w:w="3724"/>
        <w:gridCol w:w="3042"/>
        <w:gridCol w:w="17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地块面积（亩）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根据单个调查项目面积的费用为基准限价。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15-30（含30）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30-50（含50）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单价3500元/亩</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50-100（含100）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单价3000元/亩</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单价2500元/亩</w:t>
            </w:r>
            <w:r/>
          </w:p>
        </w:tc>
        <w:tc>
          <w:tcPr>
            <w:vMerge w:val="continue"/>
            <w:textDirection w:val="lrTb"/>
            <w:noWrap w:val="false"/>
          </w:tcPr>
          <w:p>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2：土壤污染状况详细调查及风险评估分为报告编制、采样、检测与水文地质勘察四个部分构成，具体限价如下：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第一部分（资料收集、踏勘、报告编制、专家评审等）：</w:t>
      </w:r>
      <w:r>
        <w:rPr>
          <w:rFonts w:ascii="SimSun" w:hAnsi="SimSun" w:eastAsia="SimSun" w:cs="SimSun"/>
          <w:color w:val="000000"/>
          <w:sz w:val="24"/>
        </w:rPr>
        <w:t xml:space="preserve">根据下表中调查评估部分单个项目面积的费用为基准限价。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 详细调查及风险评估部分费用限价标准（万元）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1830"/>
        <w:gridCol w:w="1774"/>
        <w:gridCol w:w="1774"/>
        <w:gridCol w:w="1989"/>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7.5亩以下（含）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7.5-15亩（含）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15-45亩（含）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45-75亩（含）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亩以上（含）</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第二部分（采样部分）：</w:t>
      </w:r>
      <w:r>
        <w:rPr>
          <w:rFonts w:ascii="SimSun" w:hAnsi="SimSun" w:eastAsia="SimSun" w:cs="SimSun"/>
          <w:color w:val="000000"/>
          <w:sz w:val="24"/>
        </w:rPr>
        <w:t xml:space="preserve">根据下表中采样部分项目的单价为基准。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93"/>
        <w:gridCol w:w="4661"/>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单价（元/米）</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 采样部分费用限价标准（元/米）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第三部分（检测部分）：</w:t>
      </w:r>
      <w:r>
        <w:rPr>
          <w:rFonts w:ascii="SimSun" w:hAnsi="SimSun" w:eastAsia="SimSun" w:cs="SimSun"/>
          <w:color w:val="000000"/>
          <w:sz w:val="24"/>
        </w:rPr>
        <w:t xml:space="preserve">根据下表中检测部分项目的单价为基准限价。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表4 检测部分费用限价标准（元）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8"/>
        <w:gridCol w:w="4820"/>
        <w:gridCol w:w="3478"/>
      </w:tblGrid>
      <w:tr>
        <w:trPr>
          <w:trHeight w:val="4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pH、现场快速检测项目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Ph（土壤、底泥）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pH（地下水、地表水）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PID和XRF扫描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36600-2018中的项目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45项（7项重金属+27项目VOC+11项SVOC）</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单个重金属或无机物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VOC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SVOC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氰化物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甲基汞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有机氯农药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有机磷农药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多氯联苯或多溴联苯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二噁英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TPH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36600-2018中以外的项目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单个特征污染物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水质指标检测项目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溶解氧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高锰酸盐指数或化学需氧量或五日生化需氧量或氨氮或阴离子表面活性剂或硝酸盐或硫酸盐等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总磷或总氮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挥发酚或石油类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氟化物或硫化物或氯离子等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第四部分（水文、地勘）：</w:t>
      </w:r>
      <w:r>
        <w:rPr>
          <w:rFonts w:ascii="SimSun" w:hAnsi="SimSun" w:eastAsia="SimSun" w:cs="SimSun"/>
          <w:color w:val="000000"/>
          <w:sz w:val="24"/>
        </w:rPr>
        <w:t xml:space="preserve">根据下表中水文地质勘察部分项目的单价为基准限价。</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表5 水文地质勘察部分费用标准（元）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备注：初步调查、详细调查或现状摸底调查以及风险评估均按照此最高限价表执行。布点采样方案必须经过专家评审及甲方确认同意后方可实施。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响应单位根据企业自身特点，在综合考虑技术水平、成本、利润等的基础上，对本项目进行报价（优惠率报价）。</w:t>
      </w:r>
      <w:r/>
    </w:p>
    <w:p>
      <w:pPr>
        <w:ind w:left="0" w:right="0" w:firstLine="482"/>
        <w:jc w:val="both"/>
        <w:spacing w:before="21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（五）项目组人员配备要求：</w:t>
      </w:r>
      <w:r>
        <w:rPr>
          <w:rFonts w:ascii="SimSun" w:hAnsi="SimSun" w:eastAsia="SimSun" w:cs="SimSun"/>
          <w:color w:val="000000"/>
          <w:sz w:val="24"/>
        </w:rPr>
        <w:t xml:space="preserve">成交单位对每个调查项目配备不少于1名项目负责人、1名技术负责人、1名安全负责人、6名项目组成员。</w:t>
      </w:r>
      <w:r/>
    </w:p>
    <w:p>
      <w:pPr>
        <w:ind w:left="0" w:right="0" w:firstLine="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1、成交单位在服务期间应配备充足设备、设施及与项目匹配的人员完成相关服务工作。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2、因成交单位管理不善，造成服务范围内的设施、设备、景观等损坏的，由直接责任人赔偿，若直接责任人因故无法赔偿的，采购单位有权视情节要求成交单位赔偿。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3.1服务期限内递交的成果内容必须符合招标文件的有关要求和国家有关标准。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3.2技术依据：为保证本项目实施的科学性、规范性和准确性，技术操作、服务需要严格遵照国家有关法律、法规、规章制度以及国家和行业颁布的相关技术标准和规范。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结案要求：若为上市、供地等类型地块，单个项目调查报告完成专家评审及复核后，需提交采购单位并配合采购单位完成所在地环保和资规主管部门的备案工作，所在地环保和资规主管部门出具最终审核意见后视为项目完成；若为现状摸底调查地块，单个项目仅需向采购单位提交通过专家评审及复核的土壤污染现状调查报告后视为项目完成。单个地块项目结束后成交单位须向采购单位提供项目满足国家规范要求的调查报告及附件等全部数据资料，包括纸质版（加盖公章）3套和电子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4、成交单位工作人员在岗履行职责期间（包括上下班途中），发生自身的人身伤害、伤亡，均由成交单位负责处理并承担经济和道义上的责任，采购单位不承担任何责任。</w:t>
      </w:r>
      <w:r/>
    </w:p>
    <w:p>
      <w:pPr>
        <w:ind w:left="0" w:right="0" w:firstLine="0"/>
        <w:spacing w:before="0" w:after="0" w:line="85" w:lineRule="atLeast"/>
        <w:tabs>
          <w:tab w:val="left" w:pos="720" w:leader="none"/>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1、成交单位在合同履行过程中应对本项目的安全生产负全责，项目实施过程中发生的任何安全生产事故均由成交单位负责，采购单位不承担任何法律和经济上的责任。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2、因成交单位原因，给采购单位及第三人造成的一切后果及损失，由成交单位承担，后果严重的采购单位有权解除合同。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3、成交单位在合同履行期间应严格遵守国家相关法律法规和项目所在地的相关规定，所有产生的一切纠纷由成交单位承担，采购单位不承担任何责任。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4、成交单位在合同履行期间应严格遵守采购单位的廉政、保密等相关制度，如有违反，采购单位有权无条件终止合同，情节严重的，移交纪委、司法部门处理。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5、成交单位须按采购文件的要求和投标承诺完成全部工作。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6、成交单位对服务缺陷不予更正，采购单位有权另请其他单位更正，所发生的费用在服务费中扣除。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7、因成交单位管理不善，造成工作范围内的设施、设备等损坏的，由直接责任人赔偿，若直接责任人因故无法赔偿的，采购单位有权要求成交单位负责赔偿损失，情节严重的可终止合同甚至诉诸法律。</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磋商报价包含完成本项目全部服务内容所需的人工费、调查方案编制费、现场采样费、样品检测分析费、调查报告编制费、专家评审费、差旅食宿费、文印费、资料费、通讯、工器具、设备、加班费、管理费、保险、材料、劳保、专利技术、代理服务费等全部费用以及响应单位企业利润、税金和政策性文件规定及合同包含的所有风险、责任等各项应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根据《政府采购质疑和投诉办法》财政部第94号令，供应商认为采购文件、招标过程、成交结果使自己的权益受到损害的，可以在知道或者应知其权益受到损害之日起7个工作日内，以书面形式向采购单位、采购代理机构提出质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本次采购文件要求供应商在法定质疑期内一次性提出针对同一采购程序环节的质疑，质疑时与质疑函一并提交“网上报名确认单”。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采购单位、采购代理机构收到质疑供应商在法定质疑期内发出的质疑函，应当在收到质疑函后7个工作日内作出答复，并以书面形式通知质疑供应商和其他有关供应商。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供应商提出质疑应当提交质疑函和必要的证明材料。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质疑接收人：苏州华厦招投标代理有限公司/房仁珺/15806200810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质疑接收方式：现场递交或邮寄（拒绝到付）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质疑接收地址：苏州市虎丘区科技城锦峰路198号纽威大厦8层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质疑联系电话：15806200810/（0512）68700399</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10.凡涉及磋商文件的补充说明或修正，均以苏州市政府采购网公告内容为准。</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11.服务费：根据以下的收费标准支付成交服务费。该费用应在领取成交通知书时付清。</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成交服务费：预算金额100万元以下部分，费率为该部分预算金额的1.5%</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预算金额100万元（含）－500万元部分，费率为该部分预算金额的1.1%</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预算金额500万元（含）-1000万元部分，费率为该部分预算金额的0.8%</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预算金额1000万元（含）-5000万元部分，费率为该部分预算金额的0.5%</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预算金额5000万元以上部分，费率为该部分预算金额的0.25%</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本次采购服务费为：￥26000元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12.本次磋商采取</w:t>
      </w:r>
      <w:r>
        <w:rPr>
          <w:rFonts w:ascii="SimSun" w:hAnsi="SimSun" w:eastAsia="SimSun" w:cs="SimSun"/>
          <w:b/>
          <w:color w:val="000000"/>
          <w:sz w:val="24"/>
        </w:rPr>
        <w:t xml:space="preserve">二次报价</w:t>
      </w:r>
      <w:r>
        <w:rPr>
          <w:rFonts w:ascii="SimSun" w:hAnsi="SimSun" w:eastAsia="SimSun" w:cs="SimSun"/>
          <w:color w:val="000000"/>
          <w:sz w:val="24"/>
        </w:rPr>
        <w:t xml:space="preserve">的方式，即提交磋商文件中的报价为首次报价，磋商过程中再作一次最终报价。</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13.根据《政府采购促进中小企业发展管理办法》（财库〔2020〕46号）及《中小企业划型标准规定》（工信部联企业〔2011〕300号），本采购项目对应的中小企业划分标准所属行业为：其他未列明行业。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14.机器码检查中，不同供应商使用同一台电脑编制响应文件的，响应文件将被认定为无效响应。</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四、磋商响应文件的组成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4.1报价部分 (格式见附件)：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（2）响应单位法定代表人身份证复印件；响应单位法定代表人授权委托书，被授权委托人身份证复印件（如有授权）；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（3）联合投标协议书（如为联合体投标）（见附件格式）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（4）响应单位证明其满足资格要求的证明文件或承诺函（开标现场经资格审查符合后进入评审程序）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4.2资格及技术部分：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（1）营业执照副本和税务登记证副本（或三证合一营业执照副本）；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（2）关于资格文件的声明函（见附件格式）；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（3）磋商响应单位情况介绍（各磋商响应单位根据自身情况如实介绍）；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（4）磋商响应单位人员配备等；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（5）对本次响应的详细说明方案；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（6）其他可以证明响应单位资信、资质和服务质量的证书、文件、推荐信等资料；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注：磋商响应单位必须提交4.1（1-4）、4.2（1-5）规定的资料，否则磋商响应文件将因未实质响应磋商采购文件而被拒绝。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上述资料响应供应商必须提供并加盖电子公章。否则，磋商响应文件将被认定为不符合要求。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4.3电子响应文件要求：</w:t>
      </w:r>
      <w:r/>
    </w:p>
    <w:p>
      <w:pPr>
        <w:ind w:left="0" w:right="0" w:firstLine="48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采用电子招投标方式，请响应单位在“苏采云”系统中操作成功参与项目后，必须在“已参与项目”界面中下载电子采购文件（后缀名为“.kedt”）并导入政府采购客户端工具后方可进行响应文件制作和提交（具体详见《苏采云系统供应商操作手册》。请响应单位按照《苏采云系统供应商操作手册》、采购文件要求进行制作、上传电子响应文件，响应单位无需提供纸质响应文件。</w:t>
      </w:r>
      <w:r>
        <w:rPr>
          <w:rFonts w:ascii="SimSun" w:hAnsi="SimSun" w:eastAsia="SimSun" w:cs="SimSun"/>
          <w:b/>
          <w:color w:val="000000"/>
          <w:sz w:val="24"/>
        </w:rPr>
        <w:t xml:space="preserve">电子响应文件制作完成后请在截止时间前完成提交（上传），否则视为放弃参加该采购项目。</w:t>
      </w:r>
      <w:r>
        <w:rPr>
          <w:rFonts w:ascii="SimSun" w:hAnsi="SimSun" w:eastAsia="SimSun" w:cs="SimSun"/>
          <w:color w:val="000000"/>
          <w:sz w:val="24"/>
        </w:rPr>
        <w:t xml:space="preserve">响应单位应充分考虑到网络环境、网络带宽等风险因素，如因供应商自身原因造成的电子响应文件上传不成功由供应商自行承担全部责任。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tabs>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（2）电子响应文件材料中要求加盖公章的必须加盖响应单位电子公章。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（3）响应单位应当在磋商文件要求的截止时间前，</w:t>
      </w:r>
      <w:r>
        <w:rPr>
          <w:rFonts w:ascii="SimSun" w:hAnsi="SimSun" w:eastAsia="SimSun" w:cs="SimSun"/>
          <w:b/>
          <w:color w:val="000000"/>
          <w:sz w:val="24"/>
        </w:rPr>
        <w:t xml:space="preserve">将响应文件上传苏釆云系统，否则视为放弃参加该采购项目。</w:t>
      </w:r>
      <w:r>
        <w:rPr>
          <w:rFonts w:ascii="SimSun" w:hAnsi="SimSun" w:eastAsia="SimSun" w:cs="SimSun"/>
          <w:color w:val="000000"/>
          <w:sz w:val="24"/>
        </w:rPr>
        <w:t xml:space="preserve">响应单位在提交响应文件截止时间前，可以对所提交的响应文件进行补充、修改或者撤回。</w:t>
      </w:r>
      <w:r/>
    </w:p>
    <w:p>
      <w:pPr>
        <w:ind w:left="0" w:right="0" w:firstLine="480"/>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（4）响应单位应当按照磋商文件的要求编制响应文件，并对其提交的响应文件的真实性、合法性承担法律责任。</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（5）机器码检查中，不同响应单位使用同一台电脑编制响应文件的，响应文件将被认定为无效响应。</w:t>
      </w:r>
      <w:r/>
    </w:p>
    <w:p>
      <w:pPr>
        <w:ind w:left="0" w:right="0" w:firstLine="482"/>
        <w:jc w:val="both"/>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4.4响应文件的制作要求：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1.磋商响应文件有效期为自磋商之日起90日。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2.磋商响应文件组成部分中如竞争性磋商采购文件已给定格式的，磋商响应单位应按给定格式提供，不得更改，如必须更改时，须另行制作偏离说明，并作为磋商响应文件的组成部分；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3.一经递交，除非磋商响应单位在磋商响应文件中对竞争性磋商采购文件的规定或条款有书面偏离或保留，否则应视为其全部接受和遵守。同时无论是否成交，其磋商响应文件恕不退还；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方（磋商响应单位）提交的磋商响应文件以及供方（磋商响应单位）与采购代理机构就有关采购的所有来往函电均应使用中文书写，服务方（磋商响应单位）提交的支持文件和印刷的文献可以用另一种语言，但相应内容均应附有中文的翻译本，在解释磋商响应文件时以中文翻译本为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rPr>
          <w:rFonts w:ascii="SimSun" w:hAnsi="SimSun" w:eastAsia="SimSun" w:cs="SimSun"/>
          <w:b/>
          <w:color w:val="000000"/>
          <w:sz w:val="24"/>
        </w:rPr>
        <w:t xml:space="preserve">联合投标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（1）本项目接受联合体投标。联合体牵头单位为联合体响应单位中所占份额最大的单位。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（2）若以联合体投标时，联合体各方必须完全满足合格响应单位的所有条件。除按本须知相关条款提供联合体每一成员的资料外，还应符合以下规定要求：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联合体各成员之间应签订《联合体协议书》（详见统一格式），响应单位的响应文件及成交后签署的合同书，对联合体的每一成员均有法律约束力。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（3）由联合体各成员法定代表人/负责人签署提交一份授权委托书（详见统一格式），委托响应单位代表参加投标。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（4）联合体响应单位代表应被授权作为联合体各方的代表（该代表须为联合体成员之一），承担责任和接受指令，并负责整个合同的全面履行。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（5）所有联合体成员应按合同条件的规定，为实施合同共同和分别承担责任。在联合体协议书和授权委托书中，以及在响应文件和成交后签署的合同书中应对此做出相应的声明。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（6）联合体各成员之间签订的联合体协议书应与响应文件一起递交。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（7）参加联合体的各成员不得再以自己名义单独投标，也不得同时参加两个或两个以上的联合体投标。如有违反将取消该联合体及联合体各成员的投标资格。</w:t>
      </w:r>
      <w:r/>
    </w:p>
    <w:p>
      <w:pPr>
        <w:ind w:left="0" w:right="0" w:firstLine="0"/>
        <w:jc w:val="both"/>
        <w:spacing w:before="0" w:after="0" w:line="85" w:lineRule="atLeast"/>
        <w:tabs>
          <w:tab w:val="left" w:pos="52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（一）响应内容必须符合国家相关标准，必须满足本次磋商文件的要求，若造成的损失和后果由单位负全责。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磋商小组由磋商采购单位依法组建，由采购单位代表和评审专家共3人以上单数组成，其中评审专家人数不得少于磋商小组成员总数的2/3。采购单位代表不得以评审专家身份参加本部门或本单位采购项目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2.2磋商小组负责具体的磋商事务，并独立履行以下职责：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2.2.1确认或者制定磋商文件；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2.2.2从符合相应资格条件的供应商名单中确定不少于3家的供应商参加磋商；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2.2.3审查供应商的响应文件并作出评价；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2.2.4要求供应商解释或者澄清其响应文件；</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2.2.5编写评分报告；</w:t>
      </w:r>
      <w:r/>
    </w:p>
    <w:p>
      <w:pPr>
        <w:ind w:left="0" w:right="0" w:firstLine="480"/>
        <w:jc w:val="both"/>
        <w:spacing w:before="0" w:after="0" w:line="85" w:lineRule="atLeast"/>
        <w:tabs>
          <w:tab w:val="left" w:pos="7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2.2.6告知采购单位、采购代理机构在评审过程中发现的供应商的违法违规行为。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2.3磋商小组成员应当履行下列义务：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2.3.2按照磋商文件规定的评审办法独立进行评审，对个人的评审意见承担法律责任；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2.3.3参与评分报告的起草；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2.3.4配合采购单位、采购代理机构答复供应商提出的质疑；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2.3.5配合财政部门的投诉处理和监督检查工作。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（三）评审内容的保密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3.1磋商开始后，直到宣布授予成交供应商合同为止，凡属于审查、澄清、评价和比较响应文件的所有资料，有关授予合同的信息都不应向供应商或与评审无关的其他人泄露。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3.2在响应文件的审查、澄清、评价和比较以及授予合同的过程中，响应单位对磋商采购单位和磋商小组施加影响的任何行为，都将取消其成交资格。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3.3在评审期间，磋商采购单位将通过指定联络人与响应单位进行联系。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（四）响应文件的澄清、说明和更正</w:t>
      </w:r>
      <w:r/>
    </w:p>
    <w:p>
      <w:pPr>
        <w:ind w:left="0" w:right="0" w:firstLine="37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磋商小组在对响应文件的有效性、完整性和响应程度进行审查时，可以要求响应单位对响应文件中含义不明确、同类问题表述不一致或者有明显文字和计算错误的内容等作出必要的澄清、说明或者更正。响应单位的澄清、说明或者更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磋商小组要求响应单位澄清、说明或者更正响应文件应当以书面形式作出。响应单位的澄清、说明或者更正应当由法定代表人或代理人签字或者加盖电子公章。由代理人签字的，应当附法定代表人授权委托书。响应单位为自然人的，应当由本人签字并附身份证。如响应单位无法在合理时间内出具上述材料视为放弃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响应单位的澄清、说明或者补正采用线上澄清:磋商小组将通过“苏采云”系统向响应单位发布“澄清要求函”，接到“澄清要求函”的响应单位应当按要求在规定时间内通过“苏采云”系统提交“澄清响应函”并加盖CA电子公章，澄清、说明和补充的内容作为响应文件的补充部分。</w:t>
      </w:r>
      <w:r>
        <w:rPr>
          <w:rFonts w:ascii="SimSun" w:hAnsi="SimSun" w:eastAsia="SimSun" w:cs="SimSun"/>
          <w:b/>
          <w:color w:val="000000"/>
          <w:sz w:val="24"/>
        </w:rPr>
        <w:t xml:space="preserve">(此处规定时间的计算以系统中的倒计时间为准，响应单位应随时保持系统在线，如因响应单位自身原因未在规定时间内提交澄清确认资料的，导致的不利后果由响应单位自行承担。)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（五）信用记录查询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记录：根据政府采购法及相关法规，以及苏州市财政局《关于印发苏州市市级政府采购信用记录查询和使用工作试行办法的通知》（苏财购（2017）11号）文件的规定，我们将依法对响应单位进行信用查询，凡经评标委员会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5.1.查询截止时点：响应文件接收截止时间。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5.2.查询渠道：采购代理机构会在接收响应文件截止时间后，登录信用中国网站（www.creditchina.gov.cn）和中国政府采购网（www.ccgp.gov.cn/）查询响应单位的信用记录，并将查询结果递交评标委员会。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查询证据留存方式：采购单位、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5.4.信用记录使用规则：评标委员会在对响应单位进行资格性审查时，应根据查询结果对响应单位的不良信用记录逐项甄别确认。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（六）凡涉及磋商文件的补充说明和修改，均以苏州市政府采购网公告内容为准。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三、合同主要条款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乙方：(成交单位)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根据苏州华厦招投标代理有限公司采购编号为</w:t>
      </w:r>
      <w:r>
        <w:rPr>
          <w:rFonts w:ascii="SimSun" w:hAnsi="SimSun" w:eastAsia="SimSun" w:cs="SimSun"/>
          <w:color w:val="000000"/>
          <w:sz w:val="24"/>
          <w:u w:val="single"/>
        </w:rPr>
        <w:t xml:space="preserve">JSZC-320505-DLHX-C2026-0001 </w:t>
      </w:r>
      <w:r>
        <w:rPr>
          <w:rFonts w:ascii="SimSun" w:hAnsi="SimSun" w:eastAsia="SimSun" w:cs="SimSun"/>
          <w:color w:val="000000"/>
          <w:sz w:val="24"/>
        </w:rPr>
        <w:t xml:space="preserve">2026年度浒墅关经开区（镇）土壤污染状况调查年度服务项目的采购结果，确定乙方为本次成交单位，现依照磋商文件、乙方的响应文件及相关文件的内容，签订本合同书。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一、合同价格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1.1中标固定</w:t>
      </w:r>
      <w:r>
        <w:rPr>
          <w:rFonts w:ascii="SimSun" w:hAnsi="SimSun" w:eastAsia="SimSun" w:cs="SimSun"/>
          <w:b/>
          <w:color w:val="000000"/>
          <w:sz w:val="24"/>
        </w:rPr>
        <w:t xml:space="preserve">优惠率</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合同价格包含完成本项目全部服务内容所需的人工费、调查方案编制费、现场采样费、样品检测分析费、调查报告编制费、专家评审费、差旅食宿费、文印费、资料费、通讯、工器具、设备、加班费、管理费、保险、材料、劳保、专利技术、代理服务费等全部费用以及乙方企业利润、税金和政策性文件规定及合同包含的所有风险、责任等各项应有费用。同时，除非合同条款中另有规定，否则，乙方所报价格在合同实施期间不因市场变化因素而变动，未经甲方书面确认，甲方不再另行支付其他任何费用。此外，地块的面积及规划用途可能因实际需求出现调整，乙方报价时需</w:t>
      </w:r>
      <w:r>
        <w:rPr>
          <w:rFonts w:ascii="SimSun" w:hAnsi="SimSun" w:eastAsia="SimSun" w:cs="SimSun"/>
          <w:color w:val="000000"/>
          <w:sz w:val="24"/>
        </w:rPr>
        <w:t xml:space="preserve">自行考虑该部分可能存在的风险（包括但不限于地块面积调整，规划用途调整，地块分割单独开展调查等情形），除非合同条款中另有规定，否则合同实施期间价格不做调整。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1.2本次浒墅关经开区（镇）土壤污染状况调查费用分为“初步调查、详细调查或现状摸底调查以及风险评估”，详见下表。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1.2.1土壤及地下水初步调查或现状摸底调查费用限价表如下：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 土壤污染状况初步调查或现状摸底调查计费表（万元）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1"/>
        <w:gridCol w:w="3724"/>
        <w:gridCol w:w="3042"/>
        <w:gridCol w:w="17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地块面积（亩）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根据单个调查项目面积的费用为基准限价。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15-30（含30）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30-50（含50）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单价3500元/亩</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50-100（含100）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单价3000元/亩</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1"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24"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2" w:type="dxa"/>
            <w:vAlign w:val="top"/>
            <w:textDirection w:val="lrTb"/>
            <w:noWrap w:val="false"/>
          </w:tcPr>
          <w:p>
            <w:pPr>
              <w:ind w:left="0" w:right="0" w:firstLine="0"/>
              <w:jc w:val="center"/>
              <w:spacing w:before="20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单价2500元/亩</w:t>
            </w:r>
            <w:r/>
          </w:p>
        </w:tc>
        <w:tc>
          <w:tcPr>
            <w:vMerge w:val="continue"/>
            <w:textDirection w:val="lrTb"/>
            <w:noWrap w:val="false"/>
          </w:tcPr>
          <w:p>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1.2.2土壤污染状况详细调查及风险评估分为报告编制、采样、检测与水文地质勘察四个部分构成，具体限价如下：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第一部分（资料收集、踏勘、报告编制、专家评审等）：</w:t>
      </w:r>
      <w:r>
        <w:rPr>
          <w:rFonts w:ascii="SimSun" w:hAnsi="SimSun" w:eastAsia="SimSun" w:cs="SimSun"/>
          <w:color w:val="000000"/>
          <w:sz w:val="24"/>
        </w:rPr>
        <w:t xml:space="preserve">根据下表中调查评估部分单个项目面积的费用为基准限价。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表2 详细调查及风险评估部分费用限价标准（万元）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89"/>
        <w:gridCol w:w="1830"/>
        <w:gridCol w:w="1774"/>
        <w:gridCol w:w="1774"/>
        <w:gridCol w:w="1989"/>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7.5亩以下（含）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7.5-15亩（含）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15-45亩（含）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45-75亩（含）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亩以上（含）</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3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第二部分（采样部分）：</w:t>
      </w:r>
      <w:r>
        <w:rPr>
          <w:rFonts w:ascii="SimSun" w:hAnsi="SimSun" w:eastAsia="SimSun" w:cs="SimSun"/>
          <w:color w:val="000000"/>
          <w:sz w:val="24"/>
        </w:rPr>
        <w:t xml:space="preserve">根据下表中采样部分项目的单价为基准。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93"/>
        <w:gridCol w:w="4661"/>
      </w:tblGrid>
      <w:tr>
        <w:trPr>
          <w:trHeight w:val="4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单价（元/米）</w:t>
            </w:r>
            <w:r/>
          </w:p>
        </w:tc>
      </w:tr>
      <w:tr>
        <w:trPr>
          <w:trHeight w:val="4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180</w:t>
            </w: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地下水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表3 采样部分费用限价标准（元/米）</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第三部分（检测部分）：</w:t>
      </w:r>
      <w:r>
        <w:rPr>
          <w:rFonts w:ascii="SimSun" w:hAnsi="SimSun" w:eastAsia="SimSun" w:cs="SimSun"/>
          <w:color w:val="000000"/>
          <w:sz w:val="24"/>
        </w:rPr>
        <w:t xml:space="preserve">根据下表中检测部分项目的单价为基准限价。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表4 检测部分费用限价标准（元）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8"/>
        <w:gridCol w:w="4820"/>
        <w:gridCol w:w="3478"/>
      </w:tblGrid>
      <w:tr>
        <w:trPr>
          <w:trHeight w:val="4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pH、现场快速检测项目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Ph（土壤、底泥）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pH（地下水、地表水）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PID和XRF扫描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36600-2018中的项目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45项（7项重金属+27项目VOC+11项SVOC）</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单个重金属或无机物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VOC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SVOC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氰化物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甲基汞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有机氯农药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有机磷农药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多氯联苯或多溴联苯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二噁英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TPH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500</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GB 36600-2018中以外的项目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单个特征污染物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r>
      <w:tr>
        <w:trPr>
          <w:trHeight w:val="47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水质指标检测项目</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溶解氧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1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高锰酸盐指数或化学需氧量或五日生化需氧量或氨氮或阴离子表面活性剂或硝酸盐或硫酸盐等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总磷或总氮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挥发酚或石油类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r>
      <w:tr>
        <w:trPr>
          <w:trHeight w:val="5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氟化物或硫化物或氯离子等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7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第四部分（水文、地勘）：</w:t>
      </w:r>
      <w:r>
        <w:rPr>
          <w:rFonts w:ascii="SimSun" w:hAnsi="SimSun" w:eastAsia="SimSun" w:cs="SimSun"/>
          <w:color w:val="000000"/>
          <w:sz w:val="24"/>
        </w:rPr>
        <w:t xml:space="preserve">根据下表中水文地质勘察部分项目的单价为基准限价。</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表5 水文地质勘察部分费用标准（元）</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61"/>
        <w:gridCol w:w="42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6000</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备注：初步调查、详细调查或现状摸底调查以及风险评估均按照此最高限价表执行。布点采样方案必须经过专家评审及甲方确认同意后方可实施。</w:t>
      </w:r>
      <w:r/>
    </w:p>
    <w:p>
      <w:pPr>
        <w:ind w:left="0" w:right="0" w:firstLine="367"/>
        <w:jc w:val="both"/>
        <w:spacing w:before="0" w:after="0" w:line="400"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1.3根据现行税法对甲方征收的与本合同有关的一切税费均由甲方承担；根据现行税法对乙方征收的与本合同有关的一切税费均由乙方承担。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二、服务内容及期限</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甲方聘请乙方提供以下服务：【2026年度浒墅关经开区（镇）土壤污染状况调查年度服务项目】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服务团队配备要求：乙方对每个调查项目配备不少于1名项目负责人、1名技术负责人、1名安全负责人、6名项目组成员。上述全部人员的全日制在职员工劳动合同、乙方为其缴纳的社保证明、身份证、毕业证书、职称证书复印件等须给甲方留存。乙方组织的人员在任何时间皆不因本合同或类似合同被视为与甲方存在劳动合同关系、劳务关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须根据国家或地方相关技术规范，开展地块土壤污染状况调查(初步调查、详细调查、现状摸底调查)或土壤污染风险评估，主要内容和标准须满足所有相关政策文件，主要包括但不限于：调查方案编制、地块历史资料收集、现场踏勘、人员访谈、样品采集、土壤现场快速筛查、土壤及地下水样品实验室检测，土壤污染状况调查报告或风险评估报告编制、专家评审及备案等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资料收集过程中未找到能够真实反应项目地块的地勘资料，调查单位应于调查方案编制前委托具备勘察资质的第三方开展地质勘察，查明项目所在地土层结构、地下水水位、流向等基本信息，为调查方案编制提供有力的支撑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(1)收集、了解场地现状与历史情况、场地环境资料、场地相关记录；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(2)收集场地利用变迁资料；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(3)了解相邻场地、周围区域的现状与历史情况；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(4)对地质、水文地质勘察和地形调查；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(5)整理场地及周边环境状况和敏感目标；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(6)出具调查布点方案设计、采样方案及质量保证计划并通过专家评审；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(7)土壤和地下水采样及分析；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(8)调查结果分析；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(9)出具符合要求的场地土壤污染状况调查报告；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(10)通过土壤污染状况调查报告专家评审会；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(11)出具符合要求的土壤污染风险评估报告(根据需要编制)。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(12)本项目在方案设计、现场实施的过程中涉及到：取样方案的优化设计、现场机械取样施工安全、水文地质勘查、场地污染源识别等工作。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合同签订之日至2026年12月31日。如最终实际累计结算费用达到预算金额或服务至2026年12月31日，以先到者为准，本合同宣告结束后，甲方如有其他类似需求，将依据相关规定再行采购。如已委托项目尚未完成，则合同有效期延长至该项目结束乙方履行完毕全部义务为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2.4服务地点：甲方指定。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3.3乙方在磋商响应过程中所作的其它承诺、声明、书面澄清等；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3.4竞争性磋商文件及其附件；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3.5合同附件。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四、合同价格支付：</w:t>
      </w:r>
      <w:r>
        <w:rPr>
          <w:rFonts w:ascii="SimSun" w:hAnsi="SimSun" w:eastAsia="SimSun" w:cs="SimSun"/>
          <w:color w:val="000000"/>
          <w:sz w:val="24"/>
        </w:rPr>
        <w:t xml:space="preserve"> </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4.1项目付款方式：</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4.1.1本项目土壤污染状况调查或现状摸底调查按照中标固定优惠率进行结算；土壤污染状况详细调查和风险评估按照中标固定优惠后的单价，结合地块实际需要的检测、服务内容及结算依据进行结算。</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合同签订生效后，甲方向乙方支付合同金额的30%作为预付款（在签订合同时，乙方明确表示无需预付款或者主动要求降低预付款比例的，甲方可不适用支付预付款30%规定）。每宗地块乙方接到甲方土壤场地调查需求后，乙方先提交对应地块的相关服务方案及价格，经甲方确认后方可实施。年度服务结束后，甲方按实际完成的工作量并结合成交优惠率结算支付服务费用，乙方提交甲方年度完成的项目清单、调查报告及合格的发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若为上市、供地等类型地块，乙方完成单个项目调查报告并通过专家评审及复核后，需提交甲方并配合甲方完成所在地环保和资规主管部门的备案工作，所在地环保和资规主管部门出具最终审核意见后视为项目完成；若为现状摸底调查地块，单个项目仅需向甲方提交通过专家评审及复核的土壤污染现状调查报告后视为项目完成。</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4.2乙方要求付款应提供以下资料：</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4.2.1合格的正规发票。</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4.2.2由甲乙双方及采购代理机构盖章的《政府采购合同履行考核报告》。</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4.2.3项目清单及调查报告。</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4.2.4其他（如有）。</w:t>
      </w:r>
      <w:r/>
    </w:p>
    <w:p>
      <w:pPr>
        <w:ind w:left="0" w:right="0" w:firstLine="48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4.3支付方式：转账。</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五、工作要求：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5.1乙方应按照国家、江苏省、苏州市、苏州高新区场地调查的相关规范、规定等，完成要求工作。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5.2开展全面的现场踏勘与调查工作，摸清地块内污染(源)的基本情况，识别项目地块内各类污染(源)以及历史/当前的活动对场地环境质量(土壤及地下水)可能造成的影响。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5.3土壤及地下水布点合理，满足国家、省、市相关要求，科学选择监测因子，土壤及地下水监测因子要满足相关技术要求及管理规定。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乙方自行采样，也可选择有能力的采样单位，但无论自行采样或选定的采样单位必须具有以下条件：必须具有Geoprobe或类似Geoprobe的土壤及地下水采样专业设备1台以上（含1台）并采用该类设备进行土壤样品采集、地下水监测井建设。现场要采取一定的质量控制措施，客观反映场地环境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乙方在调查期间应加强对方案编制环节、样品采集、制备、保存、流转和分析等环节的管理，上述环节中如出现违反国家法律法规、违反行业规定，或者弄虚作假，甲方会对乙方予以警告直至不再对其进行委托，并保留追究造成甲方损失的责任。</w:t>
      </w:r>
      <w:r/>
    </w:p>
    <w:p>
      <w:pPr>
        <w:ind w:left="0" w:right="0" w:firstLine="48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5.6乙方可自行选择有资质有能力的检测单位，并签订协议，乙方选定的检测单位必须具有国家计量认证合格资质（CMA）。</w:t>
      </w:r>
      <w:r/>
    </w:p>
    <w:p>
      <w:pPr>
        <w:ind w:left="0" w:right="0" w:firstLine="480"/>
        <w:jc w:val="both"/>
        <w:spacing w:before="16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乙方出具的调查报告均应附从业人员责任页，明确项目负责人，各分项工作承担者，从业单位应建立内部审核制度，明确报告的审核人、审定人，上述人员均需亲笔签字确认。另外乙方和检测单位的营业执照、资质证明等文件也应作为附件附在调查报告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5.8乙方应加强对场地调查资料的保管，并按甲方的要求进行项目公示、上传国家相关管理系统等，及时提供资料调用、审核等需求；并应配合甲方完成调查评估报告的评审申请和后续审核备案等工作。</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乙方应切实履行保密义务，未经甲方许可不得向第三方提供本项目的相关技术资料和数据。采购结束后，乙方应退还甲方在采购过程中提供的所有相关资料。未经甲方允许，乙方不得擅自将履行合同过程中所获得的关于甲方以及所调查项目的一切相关技术资料和数据对外公开，不允许在甲方未许可的条件下发表与本合同相关的论文、看法、著作等。因乙方责任造成相关技术资料和数据外泄所引起的一切后果由乙方承担。</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六、权利与义务：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6.1甲方权利与义务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6.1.1甲方按照本合同约定方式拨付乙方项目经费，乙方须向甲方提供正规收款票据。</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6.1.2甲方不得要求乙方违反国家有关标准、法规、导则进行服务。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6.1.3甲方有权向乙方询问工作进展情况及相关的内容，并且有权阐述对具体问题的意见和建议。</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6.1.4当甲方认定乙方专业人员不按合同履行其职责，或与第三人串通给甲方造成经济损失的，甲方有权要求更换乙方专业人员，直至终止合同并要求乙方承担相应的赔偿责任。</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6.1.5当甲方认定乙方执行的专业调查业务不符合相关规范时，有向行业主管部门申诉的权利。</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6.2乙方权利与义务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6.2.1乙方应严格依据国家和江苏省、苏州市建设用地土壤污染调查等相关政策法律和标准导则实施项目，履行承诺，保证质量。</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6.2.2乙方应自己负责合同实施期间其工作人员的食宿、通讯、差旅、交通水电、资料收集等一切费用，具体按合同及采购文件的约定。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6.2.3乙方在项目实施周期内接受甲方的监管和评估，并向第三方提交监管和评估所需的所有项目信息和资料。</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6.2.4乙方工作人员的人身安全由乙方全权负责。</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6.2.5甲方提供给乙方的数据文件、图纸、资料等文件，仅供乙方在本项目中使用，乙方在任何时候都应遵守本保密条款，在未经甲方事先书面允许前，不得将甲方提供的以及乙方参与本项目所知悉的有关信息透露给与完成本项目无关的第三方。如发生以上情况并给甲方造成经济损失，甲方有权向乙方索赔。</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七、验收标准：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7.1服务期限内递交的成果内容必须符合招标文件的有关要求和国家有关标准。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7.2技术依据：为保证本项目实施的科学性、规范性和准确性，技术操作、服务需要严格遵照国家有关法律、法规、规章制度以及国家和行业颁布的相关技术标准和规范。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项目结案要求：若为上市、供地等类型地块，单个项目调查报告完成专家评审及复核后，需提交甲方并配合甲方完成所在地环保和资规主管部门的备案工作，所在地环保和资规主管部门出具最终审核意见后视为项目完成；若为现状摸底调查地块，单个项目仅需向甲方提交通过专家评审及复核的土壤污染现状调查报告后视为项目完成。单个地块项目结束后乙方须向甲方提供项目满足国家规范要求的调查报告及附件等全部数据资料，包括纸质版（加盖公章）3套和电子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8.1甲方违约责任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8.1.1在合同生效后，甲方无正当理由擅自解除本合同的，应向乙方偿付3000元的违约金，违约金不足以补偿损失的，乙方有权要求甲方补足。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8.1.2如因甲方原因，造成乙方未完成规定管理目标或直接造成乙方经济损失的，甲方应给予乙方相应补偿；乙方有权要求甲方限期整改，并有权终止协议。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8.2乙方违约责任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8.2.1乙方不能履行合同从而影响甲方按期实施的，甲方有权解除合同，乙方向甲方偿付3000元的违约金，违约金不足以补偿损失的甲方有权要求乙方补足。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8.2.2如果乙方将本服务任务转包或者未经甲方同意非法分包，除由有关部门给予处罚外，甲方将按合同价的5%～10%扣除乙方的违约金。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8.2.3乙方应制定相关的应急与安全保障措施，在服务过程中如发生安全等相关事件，责任由乙方承担。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8.2.4乙方应按照甲方要求如期完成调查报告的出具，如因乙方自身原因迟延提供的，每逾期一天，应按照该单项委托费用的万分之二支付违约金，逾期超过10日的，甲方有权另行委托其他第三方完成，由此造成的损失概由乙方自行承担，相关费用甲方不予结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8.2.5因乙方编制的调查报告存在问题造成未通过专家评审或政府主管部门不认可的，甲方有权要求乙方限期整改，整改后仍未通过专家评审或政府主管部门不认可的，甲方有权终止合同，该项调查报告费用不予结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九、特别条款：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9.1双方签约人为各自法定代表人或被授权代表。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9.2本合同系指本文件及其附件中的所有部分；其中采购文件、成交的响应文件、成交单位在采购过程中的澄清、承诺等为本合同不可缺少的必要组成部分。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9.3本合同经双方法定（授权）代表人签字（或盖章）并盖单位公章后生效。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9.4本合同一式柒份，甲乙双方各执叁份招标代理公司执壹份，各份具有同等法律效力。</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本合同未尽事宜，签约双方应友好协商解决，协商不成，任何一方均可向甲方所在地上一级人民法院提起诉讼。</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法定代表人(授权代表)：                   法定代表人(授权代表)：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签约日期：签约日期：</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01"/>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四、竞争性磋商程序及磋商小组成员组成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1.采购代理机构按本须知规定的时间、地点主持磋商采购活动。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2.由磋商小组审查响应单位提交的响应文件。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小组在对响应文件的有效性、完整性和响应程度进行审查时，可以要求响应单位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磋商小组要求响应单位澄清、说明或者更正响应文件应当以书面形式作出。响应单位的澄清、说明或者更正应当由法定代表人或其授权代表签字或者加盖电子公章。由授权代表签字的，应当附法定代表人授权书。响应单位为自然人的，应当由本人签字并附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5.磋商小组所有成员集中与单一响应单位分别进行磋商，并给予所有参加磋商的响应单位平等的磋商机会。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磋商结束后，磋商小组将在“苏采云”系统向所有实质性响应的</w:t>
      </w:r>
      <w:r>
        <w:rPr>
          <w:rFonts w:ascii="SimSun" w:hAnsi="SimSun" w:eastAsia="SimSun" w:cs="SimSun"/>
          <w:color w:val="000000"/>
          <w:sz w:val="24"/>
        </w:rPr>
        <w:t xml:space="preserve">响应单位</w:t>
      </w:r>
      <w:r>
        <w:rPr>
          <w:rFonts w:ascii="SimSun" w:hAnsi="SimSun" w:eastAsia="SimSun" w:cs="SimSun"/>
          <w:b/>
          <w:color w:val="000000"/>
          <w:sz w:val="24"/>
        </w:rPr>
        <w:t xml:space="preserve">发布“最后报价要求函”及最后报价格式表，要求所有实质性响应的响应单位在规定时间内提交最后报价。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单位未在磋商小组规定的时间内（10分钟）在“苏采云”系统中提交最后报价的视为放弃磋商，其响应文件按无效响应处理，最后报价格式表须加盖CA电子公章,否则视为未提交最后报价。（此处规定时间的计算以系统中的倒计时间为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已提交响应文件的响应单位，在提交最后报价之前，可以根据磋商情况退出磋商，并在“苏采云”系统中提交“退出磋商函”并加盖CA电子公章。</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*进入项目评审流程后，建议各响应单位法定代表人或授权委托人始终保持通讯顺畅，时刻关注不见面开标大厅，不离开不见面开标大厅。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响应单位。磋商小组要求重新提交响应文件的并由其法定代表人或授权代表签字确认或者加盖电子公章。由授权代表签字的，应当附法定代表人授权书。响应单位为自然人的，应当由本人签字并附身份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7.响应单位根据磋商情况进行承诺说明并填写承诺函，磋商结束后，要求所有实质性响应的响应单位在最后一个响应单位磋商结束后十分钟内提交最后报价，提交最后有效报价的供应商不得少于3家。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8.经磋商确定最终采购需求和提交最后报价的响应单位后，根据响应单位的承诺、响应程度和响应单位最后的报价，按照磋商文件规定的成交原则和评审办法进行综合评分。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9.磋商小组根据磋商成交原则确定成交单位，并将结果通知服务承接商。</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10.如磋商过程中出现本采购文件未尽事宜，由磋商小组根据政府采购有关法律、法规讨论决定。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11.发出成交通知书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11.1在投标有效期内，成交单位确定后，采购单位或者采购代理机构发布成交公告。在公告成交结果的同时，向成交单位发出成交通知书，成交通知书是合同的组成部分。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（二）磋商小组成员组成：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1.磋商小组由磋商采购单位依法组建，由采购单位代表和评审专家共3人以上单数组成，其中评审专家人数不得少于磋商小组成员总数的2/3。采购单位代表不得以评审专家身份参加本部门或本单位采购项目的评审。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2.磋商小组成员：采购单位1名，专家2名。</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4500"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45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 分 标 准</w:t>
      </w:r>
      <w:r/>
    </w:p>
    <w:p>
      <w:pPr>
        <w:ind w:left="0" w:right="0" w:firstLine="0"/>
        <w:jc w:val="both"/>
        <w:spacing w:before="0" w:after="0" w:line="85" w:lineRule="atLeast"/>
        <w:tabs>
          <w:tab w:val="left" w:pos="28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一、竞争性磋商成交原则：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1．经磋商确定最终采购需求和提交最后报价的供应商后，由磋商小组采用综合评分法对提交最后报价的供应商的响应文件和最后报价进行综合评分。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综合评分法指响应文件满足磋商文件全部实质性要求且按评审因素的量化指标评审得分最高的供应商为成交候选单位的评审方法。评审时，磋商小组各成员应当独立对每个有效响应的文件进行评价、打分，然后汇总每个供应商每项评分因素的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3．综合评分法中的价格分统一采用低价优先法计算，即满足磋商文件要求且最后报价最低的供应商的价格为磋商基准价，其价格分为满分。其他供应商的价格分统一按照下列公式计算：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磋商报价得分=（磋商基准价/最后磋商报价）×价格权值×100（项目评审过程中，不得去掉最后报价中的最高报价和最低报价）。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4.3中标、成交供应商为残疾人福利性单位的，采购单位或者其委托的采购代理机构应当随中标、成交结果同时公告其《残疾人福利性单位声明函》，接受社会监督。</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5、监狱企业：</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5.1在政府采购活动中，监狱企业视同小型、微型企业，享受评审中价格扣除等政府采购促进中小企业发展的政府采购政策。向监狱企业采购的金额，计入面向中小企业采购的统计数据。</w:t>
      </w:r>
      <w:r/>
    </w:p>
    <w:p>
      <w:pPr>
        <w:ind w:left="0" w:right="0" w:firstLine="42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应当根据综合评分情况，按照评审得分由高到低顺序推荐3名以上成交候选单位，并编写评审报告。评审得分相同的，按照最后报价由低到高的顺序推荐。评审得分且最后报价相同的，由采购单位抽签决定成交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7．针对中小微型企业的评审加分：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本项目专门面向中小微企业采购，不再执行价格评审优惠的扶持政策。</w:t>
      </w:r>
      <w:r>
        <w:rPr>
          <w:rFonts w:ascii="SimSun" w:hAnsi="SimSun" w:eastAsia="SimSun" w:cs="SimSun"/>
          <w:color w:val="000000"/>
          <w:sz w:val="24"/>
        </w:rPr>
        <w:t xml:space="preserve">根据《政府采购促进中小企业发展管理办法》（财库〔2020〕46号）及《苏州市政府采购促进中小企业发展实施意见》（苏财购〔2022〕16号）的相关规定，如供应商认定本企业提供的货物、工程或服务符合上述文件规定情形，则需根据《中小企业划型标准规定》（工信部联企业〔2011〕300号）提交《中小微企业声明函》并加盖公章，</w:t>
      </w:r>
      <w:r>
        <w:rPr>
          <w:rFonts w:ascii="SimSun" w:hAnsi="SimSun" w:eastAsia="SimSun" w:cs="SimSun"/>
          <w:b/>
          <w:color w:val="000000"/>
          <w:sz w:val="24"/>
        </w:rPr>
        <w:t xml:space="preserve">《中小微企业声明函》中所填的行业应与本采购标的对应的中小企业划分标准所属行业一致，未提交声明函或所提交的声明函中行业与本采购标的对应的中小企业划分标准所属行业不一致视为未实质性响应采购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评标委员会认为响应单位的报价明显低于其他通过符合性审查响应单位的报价或低于预算价的50%，有可能影响产品质量或者不能诚信履约的，应当要求其在评标现场合理的时间内提供书面说明，必要时提交相关证明材料；响应单位不能证明其报价合理性的，评标委员会应当将其作为无效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二、评分标准：</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本次磋商采购的评标方法采用综合评估方法，即在最大限度地满足磋商采购文件实质性要求前提下，按照磋商采购文件中规定的各项因素进行综合评审。总分为100分，评审因素及各比重如下：价格分为</w:t>
      </w:r>
      <w:r>
        <w:rPr>
          <w:rFonts w:ascii="SimSun" w:hAnsi="SimSun" w:eastAsia="SimSun" w:cs="SimSun"/>
          <w:color w:val="000000"/>
          <w:sz w:val="24"/>
          <w:u w:val="single"/>
        </w:rPr>
        <w:t xml:space="preserve">10</w:t>
      </w:r>
      <w:r>
        <w:rPr>
          <w:rFonts w:ascii="SimSun" w:hAnsi="SimSun" w:eastAsia="SimSun" w:cs="SimSun"/>
          <w:color w:val="000000"/>
          <w:sz w:val="24"/>
        </w:rPr>
        <w:t xml:space="preserve">分，技术部分、响应单位资质部分等为</w:t>
      </w:r>
      <w:r>
        <w:rPr>
          <w:rFonts w:ascii="SimSun" w:hAnsi="SimSun" w:eastAsia="SimSun" w:cs="SimSun"/>
          <w:color w:val="000000"/>
          <w:sz w:val="24"/>
          <w:u w:val="single"/>
        </w:rPr>
        <w:t xml:space="preserve">90</w:t>
      </w:r>
      <w:r>
        <w:rPr>
          <w:rFonts w:ascii="SimSun" w:hAnsi="SimSun" w:eastAsia="SimSun" w:cs="SimSun"/>
          <w:color w:val="000000"/>
          <w:sz w:val="24"/>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（一）价格分（10分）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第一步：投标报价不高于采购预算或最高限价的，或优惠率范围：</w:t>
      </w:r>
      <w:r>
        <w:rPr>
          <w:rFonts w:ascii="SimSun" w:hAnsi="SimSun" w:eastAsia="SimSun" w:cs="SimSun"/>
          <w:b/>
          <w:color w:val="000000"/>
          <w:sz w:val="24"/>
        </w:rPr>
        <w:t xml:space="preserve">0＜优惠率＜100%</w:t>
      </w:r>
      <w:r>
        <w:rPr>
          <w:rFonts w:ascii="SimSun" w:hAnsi="SimSun" w:eastAsia="SimSun" w:cs="SimSun"/>
          <w:color w:val="000000"/>
          <w:sz w:val="24"/>
        </w:rPr>
        <w:t xml:space="preserve">的，为有效投标报价（有效投标优惠率）。超财政预算的投标报价或超优惠率范围的为无效投标报价（无效投标优惠率），其响应文件不进行评审，也不得标。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有效优惠率）中满足招标文件要求，且投标价格（优惠率）最低的投标报价（最高优惠率）为评标基准价，其价格分为满分，其他响应单位的价格分统一按照下列公式计算（计算结果四舍五入保留两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投标报价得分＝（（1-评标基准价）/（1-投标优惠率））×10％×100</w:t>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（二）技术部分（46分）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1、历史资料收集（现场踏勘及人员访谈等）组织实施方案（6分）：方案完整、措施合理得6分；方案基本完整、措施尚可行得3分；方案一般、措施不佳得1分；未提供不得分。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2、土壤及地下水采样组织实施方案（5分）：方案具有针对性、操作流程清晰、明确、科学完善的得5分；方案较有针对性、描述较清晰、操作性不强的得3分；方案一般、操作性一般得1分；未提供不得分。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土壤及地下水样品实验室分析检测组织实施方案（5分）：方案具有针对性、业务流程清晰、明确、科学完善的得5分；方案较简单、描述不够清晰、操作性不强的得3分；方案一般、操作性差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4、质量保障措施（5分）：满足本项目服务期限要求、提供技术支持、对本项目的服务方式、响应时间有承诺及措施的得5分；方案简单、基本可行的得3分；方案一般、操作性一般得1分；未提供不得分。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5、调查评估报告编制框架（5分）：框架完整正确得5分；框架较完整的得3分；框架基本可行得1分；未提供不得分。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6、调查安全保证措施（5分）：措施合理可行得5分；措施较合理可行的得3分；措施基本可行得1分；未提供不得分。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7、调查工作组织计划（5分）：制定的工作计划安排合理得5分；工作计划安排较合理的得3分；工作计划安排基本可行得1分；未提供不得分。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8、调查过程中突发事件应急预案（5分）：制定的应急预案科学、合理、可行的得5分；应急预案较科学、合理、尚可行的得3分；应急预案基本科学、合理、可行性一般的得1分；未提供不得分。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9、对项目重点难点分析及合理化建议(5分)：对本项目的重点难点分析及提出的合理化建议考虑周到、可行性好的得5分；考虑较为周到、可行性较好的得3分；考虑不全、可行性一般的得1分；未提供不得分。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（三）人员配备：（18分） （若以联合体投标的，联合体任意一方满足要求均可得分。）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配备的项目负责人职称：具有正高级技术职称的（专业需为生态环保类或化学类或地质类或土壤类等与本项目相关的），得4分，具有高级技术职称的得2分（专业需为生态环保类或化学类或地质类或土壤类等与本项目相关的）。本项最高得4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2、本项目配备的项目负责人学位：具有博士学位的，得2分；硕士学位的，得1分。本项最高得2分。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3、本项目配备的技术负责人职称：具有高级及以上技术职称的（专业需为生态环保类或化学类或地质类或土壤类等与本项目相关的），得2分。本项最高得2分。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4、本项目配备的技术负责人学位：具有博士学位的，得2分；硕士学位的，得1分。本项最高得2分。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5、本项目配备的安全负责人职称：具有高级及以上职称的（专业需为生态环保类或化学类或地质类或土壤类等与本项目相关的），得2分。本项最高得2分。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拟组建的项目组成员中（除项目负责人、技术负责人和安全负责人外）同时具有硕士及以上学位（专业需为生态环保类或化学类或地质类或土壤类等与本项目相关的）和高级及以上技术职称的（专业需为生态环保类或化学类或地质类或土壤类等与本项目相关的），有1人得1分，以最高学历认定。本项最高得6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注：响应单位须提供上述1-76项涉及的所有人员的学位证书复印件或学信网学位证明截图和职称证书相关证明文件复印件，并同时提供响应单位为其缴纳的近一个月的社保证明复印件，否则不得分。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（四）企业综合实力比较26分（若以联合体投标的，联合体任意一方满足要求均可得分。）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1、响应单位投入设备（2分）：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（1）响应单位具有X射线荧光光谱仪（XRF）现场快速检测设备的，得0.5分。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（2）响应单位具有光离子化检测仪（PID）现场快速检测设备的，得0.5分。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（3）响应单位具有航拍无人飞机的，得0.5分。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（4）响应单位具有精确定位设备（RTK）的，得0.5分。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注：投标时设备可自有或已租赁，也可以承诺成交后购买或租赁，响应文件中需提供设备清单。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①设备为自有的，响应文件中</w:t>
      </w:r>
      <w:r>
        <w:rPr>
          <w:rFonts w:ascii="SimSun" w:hAnsi="SimSun" w:eastAsia="SimSun" w:cs="SimSun"/>
          <w:color w:val="000000"/>
          <w:spacing w:val="4"/>
          <w:sz w:val="24"/>
        </w:rPr>
        <w:t xml:space="preserve">需</w:t>
      </w:r>
      <w:r>
        <w:rPr>
          <w:rFonts w:ascii="SimSun" w:hAnsi="SimSun" w:eastAsia="SimSun" w:cs="SimSun"/>
          <w:color w:val="000000"/>
          <w:sz w:val="24"/>
        </w:rPr>
        <w:t xml:space="preserve">提供购买发票复印件。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②设备为已租赁的，响应文件中</w:t>
      </w:r>
      <w:r>
        <w:rPr>
          <w:rFonts w:ascii="SimSun" w:hAnsi="SimSun" w:eastAsia="SimSun" w:cs="SimSun"/>
          <w:color w:val="000000"/>
          <w:spacing w:val="4"/>
          <w:sz w:val="24"/>
        </w:rPr>
        <w:t xml:space="preserve">需</w:t>
      </w:r>
      <w:r>
        <w:rPr>
          <w:rFonts w:ascii="SimSun" w:hAnsi="SimSun" w:eastAsia="SimSun" w:cs="SimSun"/>
          <w:color w:val="000000"/>
          <w:sz w:val="24"/>
        </w:rPr>
        <w:t xml:space="preserve">提供响应单位的租赁协议及租赁费用发票复印件。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③承诺成交后购买或租赁的，需在响应文件中提供承诺函，否则不予认可。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2、响应单位具有水资源论证能力及水文水资源调查能力的，得4分。【响应文件中提供相关证明文件，否则不得分。】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pacing w:val="4"/>
          <w:sz w:val="24"/>
        </w:rPr>
        <w:t xml:space="preserve">响应单位具备有效期内的质量管理体系认证、环境管理体系认证、职业健康安全管理体系认证的，有1项得1分，最高3分，</w:t>
      </w:r>
      <w:r>
        <w:rPr>
          <w:rFonts w:ascii="SimSun" w:hAnsi="SimSun" w:eastAsia="SimSun" w:cs="SimSun"/>
          <w:color w:val="000000"/>
          <w:sz w:val="24"/>
        </w:rPr>
        <w:t xml:space="preserve">需提供有效期内的加盖响应单位公章的证书复印件，否则不得分。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4、响应单位承担过市级及以上土壤或地下水相关课题研究的，得4分。【响应文件中提供相关证明文件，否则不得分。】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5、响应单位获得政府部门颁发的与土壤或地下水等本项目相关的荣誉、奖项的，有一个得3分。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6、响应单位自2022年1月1日以来（以合同签订日期为准）承担过类似土壤调查项目业绩，每项业绩得2分，最高10分。【响应文件中需提供完整的业绩证明合同复印件，否则不得分。】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注：1.评标时，未能按以上要求提供相应证明的，不作为评标依据，仅以按上述要求实际提供相关证明的数量作为评标依据。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2.商务部分偏离和技术部分偏离要求逐一列明。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六、附件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附件1：磋商响应报价表(参考格式，磋商响应单位可根据下述格式自制表格进行响应)</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磋商响应报价表</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 </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4"/>
        <w:gridCol w:w="2865"/>
        <w:gridCol w:w="2489"/>
        <w:gridCol w:w="1234"/>
      </w:tblGrid>
      <w:tr>
        <w:trPr>
          <w:trHeight w:val="8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优惠率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法定代表人或委托代理人(签字或盖章)：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48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①本项目为优惠率报价，请各响应单位正确理解优惠率报价含义，如</w:t>
      </w:r>
      <w:r>
        <w:rPr>
          <w:rFonts w:ascii="SimSun" w:hAnsi="SimSun" w:eastAsia="SimSun" w:cs="SimSun"/>
          <w:b/>
          <w:color w:val="000000"/>
          <w:sz w:val="24"/>
        </w:rPr>
        <w:t xml:space="preserve">导致不利的后果由</w:t>
      </w:r>
      <w:r>
        <w:rPr>
          <w:rFonts w:ascii="SimSun" w:hAnsi="SimSun" w:eastAsia="SimSun" w:cs="SimSun"/>
          <w:b/>
          <w:color w:val="000000"/>
          <w:spacing w:val="1"/>
          <w:sz w:val="24"/>
        </w:rPr>
        <w:t xml:space="preserve">响应单位</w:t>
      </w:r>
      <w:r>
        <w:rPr>
          <w:rFonts w:ascii="SimSun" w:hAnsi="SimSun" w:eastAsia="SimSun" w:cs="SimSun"/>
          <w:b/>
          <w:color w:val="000000"/>
          <w:sz w:val="24"/>
        </w:rPr>
        <w:t xml:space="preserve">自行承担。</w:t>
      </w:r>
      <w:r/>
    </w:p>
    <w:p>
      <w:pPr>
        <w:ind w:left="0" w:right="0" w:firstLine="48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②“苏采云”系统中填报优惠率，优惠率=100%-折扣。举例：若折扣为八折（80%），则“苏采云”系统填报优惠率为100%-80%=20%，以此类推。</w:t>
      </w:r>
      <w:r/>
    </w:p>
    <w:p>
      <w:pPr>
        <w:ind w:left="0" w:right="0" w:firstLine="486"/>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③优惠率范围：0＜优惠率＜100%，在此范围内的优惠率报价为有效投标优惠率。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3、关于资格文件的声明函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号磋商邀请函，经仔细阅读和研究，我们决定参加该次磋商活动。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1、我们愿意按照磋商邀请函的一切要求，提供包括完成该项目的各项应有费用。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2、如果我们磋商商务被接受，我们将严格履行磋商邀请函中规定的每一项要求，按期、按质、按量履行合同的义务。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3、我们愿意提供邀请方在磋商邀请函中要求的所有资料。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4、我们认为你们有权决定成交人者，还认为你们有权接受或拒绝所有的磋商供应商。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5、我们愿意遵守磋商文件中所列的收费标准。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6、如果我们成交，我们愿意在领取成交通知书的同时向磋商代理机构支付成交服务费。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7、如果我们成交后未履行以上承诺，我公司愿意接受有关部门的处理：</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A、取消成交资格</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B、列入不诚信企业名录予以曝光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8、综合说明：</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（1）伴随服务及配合措施；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（2）要求甲方提供的配合；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（3）其它说明。</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所有有关标书的函电，请按下列地址联系：</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单位：联系人：</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 </w:t>
      </w:r>
      <w:r/>
    </w:p>
    <w:p>
      <w:pPr>
        <w:ind w:left="0" w:right="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法定代表人或代理人：（签字或盖章）</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4、（磋商方）法定代表人授权委托书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授权委托书（非联合体）</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本授权委托书声明：我 </w:t>
      </w:r>
      <w:r>
        <w:rPr>
          <w:rFonts w:ascii="SimSun" w:hAnsi="SimSun" w:eastAsia="SimSun" w:cs="SimSun"/>
          <w:color w:val="000000"/>
          <w:sz w:val="24"/>
          <w:u w:val="single"/>
        </w:rPr>
        <w:t xml:space="preserve">          </w:t>
      </w:r>
      <w:r>
        <w:rPr>
          <w:rFonts w:ascii="SimSun" w:hAnsi="SimSun" w:eastAsia="SimSun" w:cs="SimSun"/>
          <w:color w:val="000000"/>
          <w:sz w:val="24"/>
        </w:rPr>
        <w:t xml:space="preserve">（姓名）系</w:t>
      </w:r>
      <w:r>
        <w:rPr>
          <w:rFonts w:ascii="SimSun" w:hAnsi="SimSun" w:eastAsia="SimSun" w:cs="SimSun"/>
          <w:color w:val="000000"/>
          <w:sz w:val="24"/>
          <w:u w:val="single"/>
        </w:rPr>
        <w:t xml:space="preserve">             </w:t>
      </w:r>
      <w:r>
        <w:rPr>
          <w:rFonts w:ascii="SimSun" w:hAnsi="SimSun" w:eastAsia="SimSun" w:cs="SimSun"/>
          <w:color w:val="000000"/>
          <w:sz w:val="24"/>
        </w:rPr>
        <w:t xml:space="preserve">（磋商单位名称）的法定代表人，现授权委托</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单位名称）的</w:t>
      </w:r>
      <w:r>
        <w:rPr>
          <w:rFonts w:ascii="SimSun" w:hAnsi="SimSun" w:eastAsia="SimSun" w:cs="SimSun"/>
          <w:color w:val="000000"/>
          <w:sz w:val="24"/>
          <w:u w:val="single"/>
        </w:rPr>
        <w:t xml:space="preserve">         </w:t>
      </w:r>
      <w:r>
        <w:rPr>
          <w:rFonts w:ascii="SimSun" w:hAnsi="SimSun" w:eastAsia="SimSun" w:cs="SimSun"/>
          <w:color w:val="000000"/>
          <w:sz w:val="24"/>
        </w:rPr>
        <w:t xml:space="preserve">（姓名）为我公司被授权人，以本公司的名义参加苏州华厦招投标代理有限公司组织实施的编号为</w:t>
      </w:r>
      <w:r>
        <w:rPr>
          <w:rFonts w:ascii="SimSun" w:hAnsi="SimSun" w:eastAsia="SimSun" w:cs="SimSun"/>
          <w:color w:val="000000"/>
          <w:sz w:val="24"/>
          <w:u w:val="single"/>
        </w:rPr>
        <w:t xml:space="preserve">JSZC-320505-DLHX-C2026-0001号</w:t>
      </w:r>
      <w:r>
        <w:rPr>
          <w:rFonts w:ascii="SimSun" w:hAnsi="SimSun" w:eastAsia="SimSun" w:cs="SimSun"/>
          <w:color w:val="000000"/>
          <w:sz w:val="24"/>
        </w:rPr>
        <w:t xml:space="preserve">的竞争性磋商活动。被授权人在开标、评标、合同磋商过程中所签署的一切文件和处理与这有关的一切事务，我均予以承认。</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被授权人在授权委托书有效期内签署的所有文件不因授权委托的撤销而失效，除非有撤销授权委托的书面通知，本授权委托书自响应开始至合同履行完毕止。</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被授权人无转委托权。特此委托。</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授权委托书（联合体）</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本授权委托书声明：根据</w:t>
      </w:r>
      <w:r>
        <w:rPr>
          <w:rFonts w:ascii="SimSun" w:hAnsi="SimSun" w:eastAsia="SimSun" w:cs="SimSun"/>
          <w:color w:val="000000"/>
          <w:sz w:val="24"/>
          <w:u w:val="single"/>
        </w:rPr>
        <w:t xml:space="preserve">            </w:t>
      </w:r>
      <w:r>
        <w:rPr>
          <w:rFonts w:ascii="SimSun" w:hAnsi="SimSun" w:eastAsia="SimSun" w:cs="SimSun"/>
          <w:color w:val="000000"/>
          <w:sz w:val="24"/>
        </w:rPr>
        <w:t xml:space="preserve">与</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（如有）签订的《联合投标协议书》的内容，主办人的法定代表人/负责人</w:t>
      </w:r>
      <w:r>
        <w:rPr>
          <w:rFonts w:ascii="SimSun" w:hAnsi="SimSun" w:eastAsia="SimSun" w:cs="SimSun"/>
          <w:color w:val="000000"/>
          <w:sz w:val="24"/>
          <w:u w:val="single"/>
        </w:rPr>
        <w:t xml:space="preserve">          </w:t>
      </w:r>
      <w:r>
        <w:rPr>
          <w:rFonts w:ascii="SimSun" w:hAnsi="SimSun" w:eastAsia="SimSun" w:cs="SimSun"/>
          <w:color w:val="000000"/>
          <w:sz w:val="24"/>
        </w:rPr>
        <w:t xml:space="preserve">现授权</w:t>
      </w:r>
      <w:r>
        <w:rPr>
          <w:rFonts w:ascii="SimSun" w:hAnsi="SimSun" w:eastAsia="SimSun" w:cs="SimSun"/>
          <w:color w:val="000000"/>
          <w:sz w:val="24"/>
          <w:u w:val="single"/>
        </w:rPr>
        <w:t xml:space="preserve">          （单位、姓名、身份证号码）</w:t>
      </w:r>
      <w:r>
        <w:rPr>
          <w:rFonts w:ascii="SimSun" w:hAnsi="SimSun" w:eastAsia="SimSun" w:cs="SimSun"/>
          <w:color w:val="000000"/>
          <w:sz w:val="24"/>
        </w:rPr>
        <w:t xml:space="preserve">为联合投标代理人，代理人在投标、开标、评标、合同谈判过程中所签署的一切文件和处理与这有关的一切事务， 联合投标各方均予以认可并遵守。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特此委托。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授权人（签字）：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被授权人（签字）：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牵头单位名称：（盖章）             联合体单位名称：（盖章）     ...</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法定代表人(负责人)：（签章）     法定代表人(负责人)：（签章）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                     年 月 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5、服务人员表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服务人员表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采购编号：JSZC-320505-DLHX-C2026-0001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0"/>
        <w:gridCol w:w="1915"/>
        <w:gridCol w:w="1503"/>
        <w:gridCol w:w="1084"/>
        <w:gridCol w:w="1035"/>
        <w:gridCol w:w="1105"/>
        <w:gridCol w:w="1000"/>
      </w:tblGrid>
      <w:tr>
        <w:trPr>
          <w:trHeight w:val="7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注：请按以上格式自制表格填写后响应。</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p>
    <w:p>
      <w:pPr>
        <w:ind w:left="0" w:right="0" w:firstLine="69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法定代表人或授权委托人：（签字或盖章）</w:t>
      </w:r>
      <w:r/>
    </w:p>
    <w:p>
      <w:pPr>
        <w:ind w:left="0" w:right="0" w:firstLine="69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6、类似项目业绩清单表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类似服务项目业绩清单表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rPr>
          <w:rFonts w:ascii="SimSun" w:hAnsi="SimSun" w:eastAsia="SimSun" w:cs="SimSun"/>
          <w:color w:val="000000"/>
          <w:sz w:val="24"/>
        </w:rPr>
        <w:t xml:space="preserve">         采购编号：JSZC-320505-DLHX-C2026-0001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磋商响应单位（盖章）：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7"/>
        <w:gridCol w:w="1452"/>
        <w:gridCol w:w="1452"/>
        <w:gridCol w:w="1728"/>
        <w:gridCol w:w="1915"/>
        <w:gridCol w:w="918"/>
      </w:tblGrid>
      <w:tr>
        <w:trPr>
          <w:trHeight w:val="740"/>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合同期</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服务范围</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113" w:right="11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9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磋商响应单位法定代表人或委托人：（签字或盖章）日期：</w:t>
      </w:r>
      <w:r/>
    </w:p>
    <w:p>
      <w:pPr>
        <w:ind w:left="420" w:right="357" w:hanging="400"/>
        <w:jc w:val="both"/>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注：磋商响应单位应提供双方签订的合同复印件。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3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7、磋商响应单位情况表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磋商响应单位情况表</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rPr>
          <w:rFonts w:ascii="SimSun" w:hAnsi="SimSun" w:eastAsia="SimSun" w:cs="SimSun"/>
          <w:color w:val="000000"/>
          <w:sz w:val="24"/>
          <w:u w:val="single"/>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7"/>
        <w:gridCol w:w="1741"/>
        <w:gridCol w:w="1778"/>
        <w:gridCol/>
        <w:gridCol w:w="548"/>
        <w:gridCol w:w="1735"/>
        <w:gridCol/>
        <w:gridCol w:w="1412"/>
        <w:gridCol w:w="1489"/>
      </w:tblGrid>
      <w:tr>
        <w:trPr>
          <w:trHeight w:val="645"/>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企业法定代表人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59"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73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公司成立日期</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总部地址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95"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当地代表处地址</w:t>
            </w:r>
            <w:r/>
          </w:p>
        </w:tc>
        <w:tc>
          <w:tcPr>
            <w:gridSpan w:val="7"/>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89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tc>
        <w:tc>
          <w:tcPr>
            <w:gridSpan w:val="3"/>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2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注册年份</w:t>
            </w:r>
            <w:r/>
          </w:p>
        </w:tc>
        <w:tc>
          <w:tcPr>
            <w:gridSpan w:val="3"/>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2901" w:type="dxa"/>
            <w:vAlign w:val="center"/>
            <w:textDirection w:val="lrTb"/>
            <w:noWrap w:val="false"/>
          </w:tcPr>
          <w:p>
            <w:pPr>
              <w:ind w:left="437"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单位职工人数</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71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gridSpan w:val="4"/>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69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单位2024年总营业收入</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89"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645"/>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企业或社会团体办公场所的面积：</w:t>
            </w:r>
            <w:r/>
          </w:p>
        </w:tc>
      </w:tr>
      <w:tr>
        <w:trPr>
          <w:trHeight w:val="1767"/>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主营范围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____________________________________</w:t>
            </w:r>
            <w:r/>
          </w:p>
        </w:tc>
      </w:tr>
      <w:tr>
        <w:trPr>
          <w:trHeight w:val="1013"/>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6"/>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511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351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6"/>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5117"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8"/>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8"/>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63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8.中小企业声明函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 企业发展管理办法》（财库﹝2020﹞46 号）的规定，本公司 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 况如下： </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（项目名称）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 形。 </w:t>
      </w:r>
      <w:r/>
    </w:p>
    <w:p>
      <w:pPr>
        <w:numPr>
          <w:ilvl w:val="0"/>
          <w:numId w:val="11"/>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9、残疾人福利性单位声明函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right"/>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39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10.联合投标协议书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（所有成员单位名称）  </w:t>
      </w:r>
      <w:r>
        <w:rPr>
          <w:rFonts w:ascii="SimSun" w:hAnsi="SimSun" w:eastAsia="SimSun" w:cs="SimSun"/>
          <w:color w:val="000000"/>
          <w:sz w:val="24"/>
        </w:rPr>
        <w:t xml:space="preserve">自愿组成投标联合体，共同参加</w:t>
      </w:r>
      <w:r>
        <w:rPr>
          <w:rFonts w:ascii="SimSun" w:hAnsi="SimSun" w:eastAsia="SimSun" w:cs="SimSun"/>
          <w:color w:val="000000"/>
          <w:sz w:val="24"/>
          <w:u w:val="single"/>
        </w:rPr>
        <w:t xml:space="preserve">                  </w:t>
      </w:r>
      <w:r>
        <w:rPr>
          <w:rFonts w:ascii="SimSun" w:hAnsi="SimSun" w:eastAsia="SimSun" w:cs="SimSun"/>
          <w:color w:val="000000"/>
          <w:sz w:val="24"/>
        </w:rPr>
        <w:t xml:space="preserve">项目的投标。现就联合体投标事宜订立如下协议。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1、各方一致决定以</w:t>
      </w:r>
      <w:r>
        <w:rPr>
          <w:rFonts w:ascii="SimSun" w:hAnsi="SimSun" w:eastAsia="SimSun" w:cs="SimSun"/>
          <w:color w:val="000000"/>
          <w:sz w:val="24"/>
          <w:u w:val="single"/>
        </w:rPr>
        <w:t xml:space="preserve">   （某成员单位名称）</w:t>
      </w:r>
      <w:r>
        <w:rPr>
          <w:rFonts w:ascii="SimSun" w:hAnsi="SimSun" w:eastAsia="SimSun" w:cs="SimSun"/>
          <w:color w:val="000000"/>
          <w:sz w:val="24"/>
        </w:rPr>
        <w:t xml:space="preserve">为本项目牵头方，进行投标并按照采购文件的规定提交投标文件。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联合体牵头方合法代表联合体各成员负责本项目响应文件编制和合同谈判活动，代表联合体提交和接收相关的资料、信息及指示，处理与之有关的一切事务，并负责合同招标及实施阶段的主办、组织和协调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联合体各方承诺将严格按照资格采购文件等的约定承担相应的责任及义务，根据采购文件规定及投标内容而对采购单位所作的任何合法承诺，包括书面澄清及响应等均对联合投标各方产生约束力。如果成交并签订合同，则联合投标各方将共同履行对采购单位所负有的全部义务并就采购合同约定的事项对采购单位承担连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4、联合投标其余各方保证在本项目合同中必须密切配合、尽职尽责、优质高效地完成各自项目，承担各自项目的一切责任，产品和服务提供全部质量保证及售后服务支持。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5、本次联合投标中，所有成员单位承担的工作和义务为：</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牵头方：</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，承担的工作和义务</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成员单位：</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，承担的工作和义务</w:t>
      </w:r>
      <w:r>
        <w:rPr>
          <w:rFonts w:ascii="SimSun" w:hAnsi="SimSun" w:eastAsia="SimSun" w:cs="SimSun"/>
          <w:color w:val="000000"/>
          <w:sz w:val="24"/>
          <w:u w:val="single"/>
        </w:rPr>
        <w:t xml:space="preserve">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 成员单位：</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，承担的工作和义务</w:t>
      </w:r>
      <w:r>
        <w:rPr>
          <w:rFonts w:ascii="SimSun" w:hAnsi="SimSun" w:eastAsia="SimSun" w:cs="SimSun"/>
          <w:color w:val="000000"/>
          <w:sz w:val="24"/>
          <w:u w:val="single"/>
        </w:rPr>
        <w:t xml:space="preserve">         ；</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6、若联合体各方因自身原因在项目进行过程中产生的纠纷，由联合体各方协商解决，采购单位对此不承担任何责任。由此造成招标人损失的，联合体各方应承担相应的连带责任。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7、本协议书自签字及盖章之日起生效。本协议提交采购单位后联合投标各方不得以任何形式对上述实质内容进行修改或撤销。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8、本协议书（签订份数根据实际联合体成员数量），联合体各成员和采购单位各执一份，一份用于响应文件内。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（注：如本协议书由授权代表人签字或签章的，则应同时附上法定代表人签字或签章的授权委托书。）</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0"/>
        <w:gridCol w:w="3046"/>
        <w:gridCol w:w="23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牵头方名称：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成员单位名称：   （公章）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法定代表人(负责人)或授权代表人：（签章）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  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4" w:type="dxa"/>
            <w:vAlign w:val="top"/>
            <w:textDirection w:val="lrTb"/>
            <w:noWrap w:val="false"/>
          </w:tcPr>
          <w:p>
            <w:pPr>
              <w:ind w:left="0" w:right="48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9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bl>
    <w:p>
      <w:pPr>
        <w:ind w:left="57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7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sectPr>
      <w:headerReference w:type="default" r:id="rId9"/>
      <w:footerReference w:type="default" r:id="rId10"/>
      <w:footnotePr/>
      <w:endnotePr/>
      <w:type w:val="nextPage"/>
      <w:pgSz w:w="11906" w:h="16838" w:orient="portrait"/>
      <w:pgMar w:top="1440" w:right="866" w:bottom="1440" w:left="118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Courier New">
    <w:panose1 w:val="02070309020205020404"/>
  </w:font>
  <w:font w:name="方正仿宋简体">
    <w:panose1 w:val="020B0503020202020204"/>
  </w:font>
  <w:font w:name="楷体_GB2312">
    <w:panose1 w:val="02010609060101010101"/>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17</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35</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3"/>
      <w:jc w:val="both"/>
      <w:rPr>
        <w:rFonts w:hint="default" w:eastAsia="宋体"/>
        <w:b/>
        <w:lang w:val="en-US" w:eastAsia="zh-CN"/>
      </w:rPr>
    </w:pPr>
    <w:r>
      <w:rPr>
        <w:rFonts w:hint="eastAsia"/>
        <w:b/>
      </w:rPr>
      <w:t xml:space="preserve">苏州华厦招投标代理有限公司竞争性磋商文件                                </w:t>
    </w:r>
    <w:r>
      <w:rPr>
        <w:rFonts w:hint="eastAsia"/>
        <w:b/>
        <w:lang w:eastAsia="zh-CN"/>
      </w:rPr>
      <w:t xml:space="preserve">JSZC-320505-DLHX-C2026-0001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5"/>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896"/>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1260" w:hanging="420"/>
        <w:tabs>
          <w:tab w:val="left" w:pos="1260" w:leader="none"/>
        </w:tabs>
      </w:pPr>
      <w:rPr>
        <w:rFonts w:hint="default" w:ascii="Wingdings" w:hAnsi="Wingdings"/>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3">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5">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7">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9">
    <w:multiLevelType w:val="hybridMultilevel"/>
    <w:lvl w:ilvl="0">
      <w:start w:val="1"/>
      <w:numFmt w:val="decimal"/>
      <w:isLgl w:val="false"/>
      <w:suff w:val="tab"/>
      <w:lvlText w:val="%1、"/>
      <w:lvlJc w:val="left"/>
      <w:pPr>
        <w:ind w:left="720" w:hanging="720"/>
      </w:pPr>
      <w:rPr>
        <w:rFonts w:ascii="SimSun" w:hAnsi="SimSun" w:eastAsia="SimSun" w:cs="SimSun"/>
      </w:rPr>
    </w:lvl>
    <w:lvl w:ilvl="1">
      <w:start w:val="1"/>
      <w:numFmt w:val="decimal"/>
      <w:isLgl w:val="false"/>
      <w:suff w:val="tab"/>
      <w:lvlText w:val="%2．"/>
      <w:lvlJc w:val="left"/>
      <w:pPr>
        <w:ind w:left="1140" w:hanging="720"/>
      </w:pPr>
      <w:rPr>
        <w:rFonts w:ascii="SimSun" w:hAnsi="SimSun" w:eastAsia="SimSun" w:cs="SimSun"/>
      </w:rPr>
    </w:lvl>
    <w:lvl w:ilvl="2">
      <w:start w:val="5"/>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num w:numId="1">
    <w:abstractNumId w:val="2"/>
  </w:num>
  <w:num w:numId="2">
    <w:abstractNumId w:val="1"/>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82">
    <w:name w:val="Heading 1"/>
    <w:basedOn w:val="681"/>
    <w:next w:val="681"/>
    <w:link w:val="908"/>
    <w:uiPriority w:val="0"/>
    <w:qFormat/>
    <w:pPr>
      <w:jc w:val="center"/>
      <w:keepLines/>
      <w:keepNext/>
      <w:tabs>
        <w:tab w:val="left" w:pos="1134" w:leader="none"/>
      </w:tabs>
      <w:outlineLvl w:val="0"/>
    </w:pPr>
    <w:rPr>
      <w:rFonts w:ascii="宋体" w:hAnsi="宋体"/>
      <w:b/>
      <w:sz w:val="24"/>
      <w:szCs w:val="20"/>
    </w:rPr>
  </w:style>
  <w:style w:type="paragraph" w:styleId="683">
    <w:name w:val="Heading 2"/>
    <w:basedOn w:val="681"/>
    <w:next w:val="681"/>
    <w:link w:val="916"/>
    <w:uiPriority w:val="0"/>
    <w:qFormat/>
    <w:pPr>
      <w:keepLines/>
      <w:keepNext/>
      <w:spacing w:before="260" w:after="260" w:line="416" w:lineRule="auto"/>
      <w:outlineLvl w:val="1"/>
    </w:pPr>
    <w:rPr>
      <w:rFonts w:ascii="Arial" w:hAnsi="Arial" w:eastAsia="黑体"/>
      <w:b/>
      <w:bCs/>
      <w:sz w:val="32"/>
      <w:szCs w:val="32"/>
    </w:rPr>
  </w:style>
  <w:style w:type="paragraph" w:styleId="684">
    <w:name w:val="Heading 3"/>
    <w:basedOn w:val="681"/>
    <w:next w:val="681"/>
    <w:uiPriority w:val="0"/>
    <w:qFormat/>
    <w:pPr>
      <w:keepLines/>
      <w:keepNext/>
      <w:spacing w:line="360" w:lineRule="auto"/>
      <w:outlineLvl w:val="2"/>
    </w:pPr>
    <w:rPr>
      <w:b/>
      <w:bCs/>
      <w:sz w:val="26"/>
      <w:szCs w:val="26"/>
    </w:rPr>
  </w:style>
  <w:style w:type="paragraph" w:styleId="685">
    <w:name w:val="Heading 4"/>
    <w:basedOn w:val="681"/>
    <w:next w:val="681"/>
    <w:link w:val="740"/>
    <w:uiPriority w:val="9"/>
    <w:unhideWhenUsed/>
    <w:qFormat/>
    <w:pPr>
      <w:keepLines/>
      <w:keepNext/>
      <w:spacing w:before="320" w:after="200"/>
      <w:outlineLvl w:val="3"/>
    </w:pPr>
    <w:rPr>
      <w:rFonts w:ascii="Arial" w:hAnsi="Arial" w:eastAsia="Arial" w:cs="Arial"/>
      <w:b/>
      <w:bCs/>
      <w:sz w:val="26"/>
      <w:szCs w:val="26"/>
    </w:rPr>
  </w:style>
  <w:style w:type="paragraph" w:styleId="686">
    <w:name w:val="Heading 5"/>
    <w:basedOn w:val="681"/>
    <w:next w:val="681"/>
    <w:link w:val="741"/>
    <w:uiPriority w:val="9"/>
    <w:unhideWhenUsed/>
    <w:qFormat/>
    <w:pPr>
      <w:keepLines/>
      <w:keepNext/>
      <w:spacing w:before="320" w:after="200"/>
      <w:outlineLvl w:val="4"/>
    </w:pPr>
    <w:rPr>
      <w:rFonts w:ascii="Arial" w:hAnsi="Arial" w:eastAsia="Arial" w:cs="Arial"/>
      <w:b/>
      <w:bCs/>
      <w:sz w:val="24"/>
      <w:szCs w:val="24"/>
    </w:rPr>
  </w:style>
  <w:style w:type="paragraph" w:styleId="687">
    <w:name w:val="Heading 6"/>
    <w:basedOn w:val="681"/>
    <w:next w:val="681"/>
    <w:link w:val="910"/>
    <w:uiPriority w:val="0"/>
    <w:qFormat/>
    <w:pPr>
      <w:keepLines/>
      <w:keepNext/>
      <w:spacing w:before="240" w:after="64" w:line="320" w:lineRule="auto"/>
      <w:outlineLvl w:val="5"/>
    </w:pPr>
    <w:rPr>
      <w:rFonts w:ascii="Arial" w:hAnsi="Arial" w:eastAsia="黑体"/>
      <w:b/>
      <w:bCs/>
      <w:sz w:val="24"/>
    </w:rPr>
  </w:style>
  <w:style w:type="paragraph" w:styleId="688">
    <w:name w:val="Heading 7"/>
    <w:basedOn w:val="681"/>
    <w:next w:val="681"/>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89">
    <w:name w:val="Heading 8"/>
    <w:basedOn w:val="681"/>
    <w:next w:val="681"/>
    <w:link w:val="744"/>
    <w:uiPriority w:val="9"/>
    <w:unhideWhenUsed/>
    <w:qFormat/>
    <w:pPr>
      <w:keepLines/>
      <w:keepNext/>
      <w:spacing w:before="320" w:after="200"/>
      <w:outlineLvl w:val="7"/>
    </w:pPr>
    <w:rPr>
      <w:rFonts w:ascii="Arial" w:hAnsi="Arial" w:eastAsia="Arial" w:cs="Arial"/>
      <w:i/>
      <w:iCs/>
      <w:sz w:val="22"/>
      <w:szCs w:val="22"/>
    </w:rPr>
  </w:style>
  <w:style w:type="paragraph" w:styleId="690">
    <w:name w:val="Heading 9"/>
    <w:basedOn w:val="681"/>
    <w:next w:val="681"/>
    <w:link w:val="745"/>
    <w:uiPriority w:val="9"/>
    <w:unhideWhenUsed/>
    <w:qFormat/>
    <w:pPr>
      <w:keepLines/>
      <w:keepNext/>
      <w:spacing w:before="320" w:after="200"/>
      <w:outlineLvl w:val="8"/>
    </w:pPr>
    <w:rPr>
      <w:rFonts w:ascii="Arial" w:hAnsi="Arial" w:eastAsia="Arial" w:cs="Arial"/>
      <w:i/>
      <w:iCs/>
      <w:sz w:val="21"/>
      <w:szCs w:val="21"/>
    </w:rPr>
  </w:style>
  <w:style w:type="character" w:styleId="691" w:default="1">
    <w:name w:val="Default Paragraph Font"/>
    <w:uiPriority w:val="1"/>
    <w:semiHidden/>
    <w:unhideWhenUsed/>
    <w:qFormat/>
  </w:style>
  <w:style w:type="table" w:styleId="692" w:default="1">
    <w:name w:val="Normal Table"/>
    <w:uiPriority w:val="99"/>
    <w:semiHidden/>
    <w:unhideWhenUsed/>
    <w:qFormat/>
    <w:tblPr>
      <w:tblCellMar>
        <w:left w:w="108" w:type="dxa"/>
        <w:top w:w="0" w:type="dxa"/>
        <w:right w:w="108" w:type="dxa"/>
        <w:bottom w:w="0" w:type="dxa"/>
      </w:tblCellMar>
    </w:tblPr>
  </w:style>
  <w:style w:type="paragraph" w:styleId="693">
    <w:name w:val="toc 7"/>
    <w:basedOn w:val="681"/>
    <w:next w:val="681"/>
    <w:uiPriority w:val="39"/>
    <w:unhideWhenUsed/>
    <w:qFormat/>
    <w:pPr>
      <w:ind w:left="1701" w:right="0" w:firstLine="0"/>
      <w:spacing w:after="57"/>
    </w:pPr>
  </w:style>
  <w:style w:type="paragraph" w:styleId="694">
    <w:name w:val="table of authorities"/>
    <w:basedOn w:val="681"/>
    <w:next w:val="681"/>
    <w:uiPriority w:val="0"/>
    <w:qFormat/>
    <w:pPr>
      <w:ind w:left="420"/>
    </w:pPr>
    <w:rPr>
      <w:rFonts w:ascii="Calibri" w:hAnsi="Calibri" w:cs="Times New Roman"/>
      <w:sz w:val="21"/>
      <w:szCs w:val="24"/>
    </w:rPr>
  </w:style>
  <w:style w:type="paragraph" w:styleId="695">
    <w:name w:val="Normal Indent"/>
    <w:basedOn w:val="681"/>
    <w:uiPriority w:val="0"/>
    <w:qFormat/>
    <w:pPr>
      <w:ind w:firstLine="420"/>
      <w:jc w:val="left"/>
    </w:pPr>
    <w:rPr>
      <w:rFonts w:eastAsia="楷体_GB2312"/>
      <w:sz w:val="24"/>
      <w:szCs w:val="20"/>
    </w:rPr>
  </w:style>
  <w:style w:type="paragraph" w:styleId="696">
    <w:name w:val="Caption"/>
    <w:basedOn w:val="681"/>
    <w:next w:val="6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7">
    <w:name w:val="Document Map"/>
    <w:basedOn w:val="681"/>
    <w:link w:val="915"/>
    <w:uiPriority w:val="0"/>
    <w:qFormat/>
    <w:rPr>
      <w:rFonts w:ascii="宋体"/>
      <w:sz w:val="18"/>
      <w:szCs w:val="18"/>
    </w:rPr>
  </w:style>
  <w:style w:type="paragraph" w:styleId="698">
    <w:name w:val="annotation text"/>
    <w:basedOn w:val="681"/>
    <w:link w:val="909"/>
    <w:uiPriority w:val="0"/>
    <w:qFormat/>
    <w:pPr>
      <w:jc w:val="left"/>
    </w:pPr>
  </w:style>
  <w:style w:type="paragraph" w:styleId="699">
    <w:name w:val="Body Text"/>
    <w:basedOn w:val="681"/>
    <w:next w:val="695"/>
    <w:uiPriority w:val="0"/>
    <w:qFormat/>
    <w:pPr>
      <w:tabs>
        <w:tab w:val="left" w:pos="5250" w:leader="none"/>
      </w:tabs>
    </w:pPr>
    <w:rPr>
      <w:sz w:val="28"/>
    </w:rPr>
  </w:style>
  <w:style w:type="paragraph" w:styleId="700">
    <w:name w:val="Body Text Indent"/>
    <w:basedOn w:val="681"/>
    <w:next w:val="681"/>
    <w:uiPriority w:val="0"/>
    <w:qFormat/>
    <w:pPr>
      <w:ind w:left="570"/>
      <w:spacing w:line="520" w:lineRule="exact"/>
    </w:pPr>
    <w:rPr>
      <w:rFonts w:ascii="方正仿宋简体" w:hAnsi="创艺简仿宋" w:eastAsia="方正仿宋简体"/>
      <w:sz w:val="24"/>
      <w:szCs w:val="20"/>
    </w:rPr>
  </w:style>
  <w:style w:type="paragraph" w:styleId="701">
    <w:name w:val="List 2"/>
    <w:basedOn w:val="681"/>
    <w:uiPriority w:val="0"/>
    <w:qFormat/>
    <w:pPr>
      <w:ind w:left="100" w:hanging="200"/>
    </w:pPr>
  </w:style>
  <w:style w:type="paragraph" w:styleId="702">
    <w:name w:val="Block Text"/>
    <w:basedOn w:val="681"/>
    <w:uiPriority w:val="0"/>
    <w:qFormat/>
    <w:pPr>
      <w:ind w:left="630" w:right="-609" w:firstLine="420"/>
      <w:spacing w:line="360" w:lineRule="auto"/>
    </w:pPr>
    <w:rPr>
      <w:rFonts w:hint="eastAsia" w:ascii="仿宋_GB2312" w:hAnsi="Times New Roman" w:eastAsia="仿宋_GB2312" w:cs="Times New Roman"/>
      <w:szCs w:val="20"/>
    </w:rPr>
  </w:style>
  <w:style w:type="paragraph" w:styleId="703">
    <w:name w:val="toc 5"/>
    <w:basedOn w:val="681"/>
    <w:next w:val="681"/>
    <w:uiPriority w:val="39"/>
    <w:unhideWhenUsed/>
    <w:qFormat/>
    <w:pPr>
      <w:ind w:left="1134" w:right="0" w:firstLine="0"/>
      <w:spacing w:after="57"/>
    </w:pPr>
  </w:style>
  <w:style w:type="paragraph" w:styleId="704">
    <w:name w:val="toc 3"/>
    <w:basedOn w:val="681"/>
    <w:next w:val="681"/>
    <w:uiPriority w:val="39"/>
    <w:unhideWhenUsed/>
    <w:qFormat/>
    <w:pPr>
      <w:ind w:left="567" w:right="0" w:firstLine="0"/>
      <w:spacing w:after="57"/>
    </w:pPr>
  </w:style>
  <w:style w:type="paragraph" w:styleId="705">
    <w:name w:val="Plain Text"/>
    <w:basedOn w:val="681"/>
    <w:link w:val="913"/>
    <w:uiPriority w:val="0"/>
    <w:qFormat/>
    <w:rPr>
      <w:rFonts w:ascii="宋体" w:hAnsi="Courier New" w:eastAsia="楷体_GB2312"/>
      <w:sz w:val="28"/>
      <w:szCs w:val="20"/>
    </w:rPr>
  </w:style>
  <w:style w:type="paragraph" w:styleId="706">
    <w:name w:val="toc 8"/>
    <w:basedOn w:val="681"/>
    <w:next w:val="681"/>
    <w:uiPriority w:val="39"/>
    <w:unhideWhenUsed/>
    <w:qFormat/>
    <w:pPr>
      <w:ind w:left="1984" w:right="0" w:firstLine="0"/>
      <w:spacing w:after="57"/>
    </w:pPr>
  </w:style>
  <w:style w:type="paragraph" w:styleId="707">
    <w:name w:val="Date"/>
    <w:basedOn w:val="681"/>
    <w:next w:val="681"/>
    <w:uiPriority w:val="0"/>
    <w:qFormat/>
    <w:pPr>
      <w:ind w:left="100"/>
    </w:pPr>
    <w:rPr>
      <w:sz w:val="28"/>
    </w:rPr>
  </w:style>
  <w:style w:type="paragraph" w:styleId="708">
    <w:name w:val="Body Text Indent 2"/>
    <w:basedOn w:val="681"/>
    <w:uiPriority w:val="0"/>
    <w:qFormat/>
    <w:pPr>
      <w:ind w:firstLine="570"/>
      <w:spacing w:line="520" w:lineRule="exact"/>
    </w:pPr>
    <w:rPr>
      <w:rFonts w:ascii="方正仿宋简体" w:hAnsi="创艺简仿宋" w:eastAsia="方正仿宋简体"/>
      <w:bCs/>
      <w:sz w:val="24"/>
      <w:szCs w:val="20"/>
    </w:rPr>
  </w:style>
  <w:style w:type="paragraph" w:styleId="709">
    <w:name w:val="endnote text"/>
    <w:basedOn w:val="681"/>
    <w:link w:val="882"/>
    <w:uiPriority w:val="99"/>
    <w:semiHidden/>
    <w:unhideWhenUsed/>
    <w:qFormat/>
    <w:pPr>
      <w:spacing w:after="0" w:line="240" w:lineRule="auto"/>
    </w:pPr>
    <w:rPr>
      <w:sz w:val="20"/>
    </w:rPr>
  </w:style>
  <w:style w:type="paragraph" w:styleId="710">
    <w:name w:val="Balloon Text"/>
    <w:basedOn w:val="681"/>
    <w:uiPriority w:val="0"/>
    <w:semiHidden/>
    <w:qFormat/>
    <w:rPr>
      <w:sz w:val="18"/>
      <w:szCs w:val="18"/>
    </w:rPr>
  </w:style>
  <w:style w:type="paragraph" w:styleId="711">
    <w:name w:val="Footer"/>
    <w:basedOn w:val="681"/>
    <w:uiPriority w:val="0"/>
    <w:qFormat/>
    <w:pPr>
      <w:jc w:val="left"/>
      <w:tabs>
        <w:tab w:val="center" w:pos="4153" w:leader="none"/>
        <w:tab w:val="right" w:pos="8306" w:leader="none"/>
      </w:tabs>
    </w:pPr>
    <w:rPr>
      <w:sz w:val="18"/>
      <w:szCs w:val="18"/>
    </w:rPr>
  </w:style>
  <w:style w:type="paragraph" w:styleId="712">
    <w:name w:val="envelope return"/>
    <w:basedOn w:val="681"/>
    <w:uiPriority w:val="0"/>
    <w:qFormat/>
    <w:pPr>
      <w:widowControl w:val="off"/>
    </w:pPr>
    <w:rPr>
      <w:rFonts w:eastAsia="宋体" w:cs="Times New Roman"/>
      <w:sz w:val="26"/>
      <w:szCs w:val="24"/>
    </w:rPr>
  </w:style>
  <w:style w:type="paragraph" w:styleId="713">
    <w:name w:val="Header"/>
    <w:basedOn w:val="681"/>
    <w:uiPriority w:val="0"/>
    <w:qFormat/>
    <w:pPr>
      <w:jc w:val="center"/>
      <w:tabs>
        <w:tab w:val="center" w:pos="4153" w:leader="none"/>
        <w:tab w:val="right" w:pos="8306" w:leader="none"/>
      </w:tabs>
      <w:pBdr>
        <w:bottom w:val="single" w:color="auto" w:sz="6" w:space="1"/>
      </w:pBdr>
    </w:pPr>
    <w:rPr>
      <w:sz w:val="18"/>
      <w:szCs w:val="18"/>
    </w:rPr>
  </w:style>
  <w:style w:type="paragraph" w:styleId="714">
    <w:name w:val="toc 1"/>
    <w:basedOn w:val="681"/>
    <w:next w:val="681"/>
    <w:uiPriority w:val="39"/>
    <w:unhideWhenUsed/>
    <w:qFormat/>
    <w:pPr>
      <w:ind w:left="0" w:right="0" w:firstLine="0"/>
      <w:spacing w:after="57"/>
    </w:pPr>
  </w:style>
  <w:style w:type="paragraph" w:styleId="715">
    <w:name w:val="toc 4"/>
    <w:basedOn w:val="681"/>
    <w:next w:val="681"/>
    <w:uiPriority w:val="39"/>
    <w:unhideWhenUsed/>
    <w:qFormat/>
    <w:pPr>
      <w:ind w:left="850" w:right="0" w:firstLine="0"/>
      <w:spacing w:after="57"/>
    </w:pPr>
  </w:style>
  <w:style w:type="paragraph" w:styleId="716">
    <w:name w:val="Subtitle"/>
    <w:basedOn w:val="681"/>
    <w:next w:val="681"/>
    <w:link w:val="748"/>
    <w:uiPriority w:val="11"/>
    <w:qFormat/>
    <w:pPr>
      <w:spacing w:before="200" w:after="200"/>
    </w:pPr>
    <w:rPr>
      <w:sz w:val="24"/>
      <w:szCs w:val="24"/>
    </w:rPr>
  </w:style>
  <w:style w:type="paragraph" w:styleId="717">
    <w:name w:val="footnote text"/>
    <w:basedOn w:val="681"/>
    <w:uiPriority w:val="0"/>
    <w:qFormat/>
    <w:pPr>
      <w:jc w:val="left"/>
    </w:pPr>
    <w:rPr>
      <w:sz w:val="18"/>
      <w:szCs w:val="18"/>
    </w:rPr>
  </w:style>
  <w:style w:type="paragraph" w:styleId="718">
    <w:name w:val="toc 6"/>
    <w:basedOn w:val="681"/>
    <w:next w:val="681"/>
    <w:uiPriority w:val="39"/>
    <w:unhideWhenUsed/>
    <w:qFormat/>
    <w:pPr>
      <w:ind w:left="1417" w:right="0" w:firstLine="0"/>
      <w:spacing w:after="57"/>
    </w:pPr>
  </w:style>
  <w:style w:type="paragraph" w:styleId="719">
    <w:name w:val="Body Text Indent 3"/>
    <w:basedOn w:val="681"/>
    <w:uiPriority w:val="0"/>
    <w:qFormat/>
    <w:pPr>
      <w:ind w:left="420"/>
      <w:spacing w:after="120"/>
    </w:pPr>
    <w:rPr>
      <w:sz w:val="16"/>
      <w:szCs w:val="16"/>
    </w:rPr>
  </w:style>
  <w:style w:type="paragraph" w:styleId="720">
    <w:name w:val="table of figures"/>
    <w:basedOn w:val="681"/>
    <w:next w:val="681"/>
    <w:uiPriority w:val="99"/>
    <w:unhideWhenUsed/>
    <w:qFormat/>
    <w:pPr>
      <w:spacing w:after="0" w:afterAutospacing="0"/>
    </w:pPr>
  </w:style>
  <w:style w:type="paragraph" w:styleId="721">
    <w:name w:val="toc 2"/>
    <w:basedOn w:val="681"/>
    <w:next w:val="681"/>
    <w:uiPriority w:val="39"/>
    <w:qFormat/>
    <w:pPr>
      <w:ind w:left="210"/>
      <w:jc w:val="left"/>
    </w:pPr>
    <w:rPr>
      <w:rFonts w:ascii="Times New Roman" w:hAnsi="Times New Roman"/>
      <w:smallCaps/>
      <w:sz w:val="20"/>
      <w:szCs w:val="20"/>
    </w:rPr>
  </w:style>
  <w:style w:type="paragraph" w:styleId="722">
    <w:name w:val="toc 9"/>
    <w:basedOn w:val="681"/>
    <w:next w:val="681"/>
    <w:uiPriority w:val="39"/>
    <w:unhideWhenUsed/>
    <w:qFormat/>
    <w:pPr>
      <w:ind w:left="2268" w:right="0" w:firstLine="0"/>
      <w:spacing w:after="57"/>
    </w:pPr>
  </w:style>
  <w:style w:type="paragraph" w:styleId="723">
    <w:name w:val="Normal (Web)"/>
    <w:basedOn w:val="681"/>
    <w:uiPriority w:val="99"/>
    <w:unhideWhenUsed/>
    <w:qFormat/>
    <w:pPr>
      <w:jc w:val="left"/>
      <w:spacing w:before="100" w:beforeAutospacing="1" w:after="100" w:afterAutospacing="1"/>
      <w:widowControl/>
    </w:pPr>
    <w:rPr>
      <w:rFonts w:ascii="宋体" w:hAnsi="宋体" w:cs="宋体"/>
      <w:sz w:val="24"/>
    </w:rPr>
  </w:style>
  <w:style w:type="paragraph" w:styleId="724">
    <w:name w:val="Title"/>
    <w:basedOn w:val="681"/>
    <w:next w:val="681"/>
    <w:uiPriority w:val="0"/>
    <w:qFormat/>
    <w:pPr>
      <w:jc w:val="center"/>
      <w:spacing w:before="240" w:after="60"/>
      <w:outlineLvl w:val="0"/>
    </w:pPr>
    <w:rPr>
      <w:rFonts w:ascii="Arial" w:hAnsi="Arial"/>
      <w:b/>
      <w:sz w:val="32"/>
    </w:rPr>
  </w:style>
  <w:style w:type="paragraph" w:styleId="725">
    <w:name w:val="annotation subject"/>
    <w:basedOn w:val="698"/>
    <w:next w:val="698"/>
    <w:link w:val="914"/>
    <w:uiPriority w:val="0"/>
    <w:qFormat/>
    <w:rPr>
      <w:b/>
      <w:bCs/>
    </w:rPr>
  </w:style>
  <w:style w:type="paragraph" w:styleId="726">
    <w:name w:val="Body Text First Indent"/>
    <w:basedOn w:val="699"/>
    <w:uiPriority w:val="0"/>
    <w:qFormat/>
    <w:pPr>
      <w:ind w:firstLine="200"/>
      <w:spacing w:line="360" w:lineRule="auto"/>
    </w:pPr>
    <w:rPr>
      <w:rFonts w:ascii="仿宋_GB2312" w:hAnsi="Arial" w:eastAsia="仿宋_GB2312"/>
      <w:sz w:val="30"/>
      <w:szCs w:val="30"/>
    </w:rPr>
  </w:style>
  <w:style w:type="paragraph" w:styleId="727">
    <w:name w:val="Body Text First Indent 2"/>
    <w:basedOn w:val="700"/>
    <w:uiPriority w:val="99"/>
    <w:unhideWhenUsed/>
    <w:qFormat/>
    <w:pPr>
      <w:ind w:firstLine="420"/>
    </w:pPr>
  </w:style>
  <w:style w:type="table" w:styleId="728">
    <w:name w:val="Table Grid"/>
    <w:basedOn w:val="692"/>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9">
    <w:name w:val="Strong"/>
    <w:uiPriority w:val="0"/>
    <w:qFormat/>
    <w:rPr>
      <w:b/>
    </w:rPr>
  </w:style>
  <w:style w:type="character" w:styleId="730">
    <w:name w:val="endnote reference"/>
    <w:basedOn w:val="691"/>
    <w:uiPriority w:val="99"/>
    <w:semiHidden/>
    <w:unhideWhenUsed/>
    <w:qFormat/>
    <w:rPr>
      <w:vertAlign w:val="superscript"/>
    </w:rPr>
  </w:style>
  <w:style w:type="character" w:styleId="731">
    <w:name w:val="page number"/>
    <w:basedOn w:val="691"/>
    <w:uiPriority w:val="0"/>
    <w:qFormat/>
  </w:style>
  <w:style w:type="character" w:styleId="732">
    <w:name w:val="FollowedHyperlink"/>
    <w:uiPriority w:val="0"/>
    <w:qFormat/>
    <w:rPr>
      <w:color w:val="999999"/>
      <w:u w:val="none"/>
    </w:rPr>
  </w:style>
  <w:style w:type="character" w:styleId="733">
    <w:name w:val="Emphasis"/>
    <w:uiPriority w:val="0"/>
    <w:qFormat/>
  </w:style>
  <w:style w:type="character" w:styleId="734">
    <w:name w:val="Hyperlink"/>
    <w:uiPriority w:val="0"/>
    <w:qFormat/>
    <w:rPr>
      <w:color w:val="333333"/>
      <w:u w:val="none"/>
    </w:rPr>
  </w:style>
  <w:style w:type="character" w:styleId="735">
    <w:name w:val="annotation reference"/>
    <w:uiPriority w:val="0"/>
    <w:qFormat/>
    <w:rPr>
      <w:sz w:val="21"/>
      <w:szCs w:val="21"/>
    </w:rPr>
  </w:style>
  <w:style w:type="character" w:styleId="736">
    <w:name w:val="footnote reference"/>
    <w:uiPriority w:val="0"/>
    <w:qFormat/>
    <w:rPr>
      <w:vertAlign w:val="superscript"/>
    </w:rPr>
  </w:style>
  <w:style w:type="character" w:styleId="737" w:customStyle="1">
    <w:name w:val="Heading 1 Char"/>
    <w:basedOn w:val="691"/>
    <w:uiPriority w:val="9"/>
    <w:qFormat/>
    <w:rPr>
      <w:rFonts w:ascii="Arial" w:hAnsi="Arial" w:eastAsia="Arial" w:cs="Arial"/>
      <w:sz w:val="40"/>
      <w:szCs w:val="40"/>
    </w:rPr>
  </w:style>
  <w:style w:type="character" w:styleId="738" w:customStyle="1">
    <w:name w:val="Heading 2 Char"/>
    <w:basedOn w:val="691"/>
    <w:uiPriority w:val="9"/>
    <w:qFormat/>
    <w:rPr>
      <w:rFonts w:ascii="Arial" w:hAnsi="Arial" w:eastAsia="Arial" w:cs="Arial"/>
      <w:sz w:val="34"/>
    </w:rPr>
  </w:style>
  <w:style w:type="character" w:styleId="739" w:customStyle="1">
    <w:name w:val="Heading 3 Char"/>
    <w:basedOn w:val="691"/>
    <w:uiPriority w:val="9"/>
    <w:qFormat/>
    <w:rPr>
      <w:rFonts w:ascii="Arial" w:hAnsi="Arial" w:eastAsia="Arial" w:cs="Arial"/>
      <w:sz w:val="30"/>
      <w:szCs w:val="30"/>
    </w:rPr>
  </w:style>
  <w:style w:type="character" w:styleId="740" w:customStyle="1">
    <w:name w:val="Heading 4 Char"/>
    <w:basedOn w:val="691"/>
    <w:link w:val="685"/>
    <w:uiPriority w:val="9"/>
    <w:qFormat/>
    <w:rPr>
      <w:rFonts w:ascii="Arial" w:hAnsi="Arial" w:eastAsia="Arial" w:cs="Arial"/>
      <w:b/>
      <w:bCs/>
      <w:sz w:val="26"/>
      <w:szCs w:val="26"/>
    </w:rPr>
  </w:style>
  <w:style w:type="character" w:styleId="741" w:customStyle="1">
    <w:name w:val="Heading 5 Char"/>
    <w:basedOn w:val="691"/>
    <w:link w:val="686"/>
    <w:uiPriority w:val="9"/>
    <w:qFormat/>
    <w:rPr>
      <w:rFonts w:ascii="Arial" w:hAnsi="Arial" w:eastAsia="Arial" w:cs="Arial"/>
      <w:b/>
      <w:bCs/>
      <w:sz w:val="24"/>
      <w:szCs w:val="24"/>
    </w:rPr>
  </w:style>
  <w:style w:type="character" w:styleId="742" w:customStyle="1">
    <w:name w:val="Heading 6 Char"/>
    <w:basedOn w:val="691"/>
    <w:uiPriority w:val="9"/>
    <w:qFormat/>
    <w:rPr>
      <w:rFonts w:ascii="Arial" w:hAnsi="Arial" w:eastAsia="Arial" w:cs="Arial"/>
      <w:b/>
      <w:bCs/>
      <w:sz w:val="22"/>
      <w:szCs w:val="22"/>
    </w:rPr>
  </w:style>
  <w:style w:type="character" w:styleId="743" w:customStyle="1">
    <w:name w:val="Heading 7 Char"/>
    <w:basedOn w:val="691"/>
    <w:link w:val="688"/>
    <w:uiPriority w:val="9"/>
    <w:qFormat/>
    <w:rPr>
      <w:rFonts w:ascii="Arial" w:hAnsi="Arial" w:eastAsia="Arial" w:cs="Arial"/>
      <w:b/>
      <w:bCs/>
      <w:i/>
      <w:iCs/>
      <w:sz w:val="22"/>
      <w:szCs w:val="22"/>
    </w:rPr>
  </w:style>
  <w:style w:type="character" w:styleId="744" w:customStyle="1">
    <w:name w:val="Heading 8 Char"/>
    <w:basedOn w:val="691"/>
    <w:link w:val="689"/>
    <w:uiPriority w:val="9"/>
    <w:qFormat/>
    <w:rPr>
      <w:rFonts w:ascii="Arial" w:hAnsi="Arial" w:eastAsia="Arial" w:cs="Arial"/>
      <w:i/>
      <w:iCs/>
      <w:sz w:val="22"/>
      <w:szCs w:val="22"/>
    </w:rPr>
  </w:style>
  <w:style w:type="character" w:styleId="745" w:customStyle="1">
    <w:name w:val="Heading 9 Char"/>
    <w:basedOn w:val="691"/>
    <w:link w:val="690"/>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91"/>
    <w:uiPriority w:val="10"/>
    <w:qFormat/>
    <w:rPr>
      <w:sz w:val="48"/>
      <w:szCs w:val="48"/>
    </w:rPr>
  </w:style>
  <w:style w:type="character" w:styleId="748" w:customStyle="1">
    <w:name w:val="Subtitle Char"/>
    <w:basedOn w:val="691"/>
    <w:link w:val="716"/>
    <w:uiPriority w:val="11"/>
    <w:qFormat/>
    <w:rPr>
      <w:sz w:val="24"/>
      <w:szCs w:val="24"/>
    </w:rPr>
  </w:style>
  <w:style w:type="paragraph" w:styleId="749">
    <w:name w:val="Quote"/>
    <w:basedOn w:val="681"/>
    <w:next w:val="681"/>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1"/>
    <w:next w:val="681"/>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91"/>
    <w:uiPriority w:val="99"/>
    <w:qFormat/>
  </w:style>
  <w:style w:type="character" w:styleId="754" w:customStyle="1">
    <w:name w:val="Footer Char"/>
    <w:basedOn w:val="691"/>
    <w:uiPriority w:val="99"/>
    <w:qFormat/>
  </w:style>
  <w:style w:type="character" w:styleId="755" w:customStyle="1">
    <w:name w:val="Caption Char"/>
    <w:uiPriority w:val="99"/>
    <w:qFormat/>
  </w:style>
  <w:style w:type="table" w:styleId="756" w:customStyle="1">
    <w:name w:val="Table Grid Light"/>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2"/>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2"/>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2"/>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2"/>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2"/>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2"/>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9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92"/>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92"/>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92"/>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92"/>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2"/>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2"/>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2"/>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basedOn w:val="692"/>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basedOn w:val="6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2"/>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2"/>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2"/>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2"/>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2"/>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2"/>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2"/>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2"/>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2"/>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2"/>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2"/>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9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92"/>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92"/>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92"/>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92"/>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2"/>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9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2"/>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2"/>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2"/>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2"/>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2"/>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9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92"/>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92"/>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92"/>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92"/>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2"/>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2"/>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2"/>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2"/>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2"/>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2"/>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basedOn w:val="69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basedOn w:val="692"/>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basedOn w:val="692"/>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basedOn w:val="692"/>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basedOn w:val="692"/>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basedOn w:val="6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2"/>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2"/>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2"/>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2"/>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2"/>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9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92"/>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2"/>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9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92"/>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92"/>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92"/>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92"/>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92"/>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2"/>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9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92"/>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92"/>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92"/>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92"/>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uiPriority w:val="99"/>
    <w:qFormat/>
    <w:rPr>
      <w:sz w:val="18"/>
    </w:rPr>
  </w:style>
  <w:style w:type="character" w:styleId="882" w:customStyle="1">
    <w:name w:val="Endnote Text Char"/>
    <w:link w:val="709"/>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段"/>
    <w:next w:val="681"/>
    <w:uiPriority w:val="0"/>
    <w:qFormat/>
    <w:pPr>
      <w:ind w:firstLine="200"/>
      <w:jc w:val="both"/>
    </w:pPr>
    <w:rPr>
      <w:rFonts w:hint="default" w:ascii="宋体" w:hAnsi="Calibri" w:eastAsia="宋体" w:cs="Times New Roman"/>
      <w:sz w:val="21"/>
      <w:lang w:val="en-US" w:eastAsia="zh-CN" w:bidi="ar-SA"/>
    </w:rPr>
  </w:style>
  <w:style w:type="paragraph" w:styleId="885" w:customStyle="1">
    <w:name w:val="首行缩进"/>
    <w:basedOn w:val="681"/>
    <w:uiPriority w:val="0"/>
    <w:qFormat/>
    <w:pPr>
      <w:ind w:firstLine="200"/>
      <w:spacing w:line="500" w:lineRule="exact"/>
    </w:pPr>
  </w:style>
  <w:style w:type="paragraph" w:styleId="886" w:customStyle="1">
    <w:name w:val="p18"/>
    <w:basedOn w:val="681"/>
    <w:uiPriority w:val="0"/>
    <w:qFormat/>
    <w:pPr>
      <w:ind w:firstLine="570"/>
      <w:spacing w:line="520" w:lineRule="atLeast"/>
      <w:widowControl/>
    </w:pPr>
    <w:rPr>
      <w:rFonts w:ascii="方正仿宋简体" w:hAnsi="方正仿宋简体" w:cs="宋体"/>
      <w:sz w:val="24"/>
    </w:rPr>
  </w:style>
  <w:style w:type="paragraph" w:styleId="887" w:customStyle="1">
    <w:name w:val="正文段落"/>
    <w:basedOn w:val="681"/>
    <w:uiPriority w:val="0"/>
    <w:qFormat/>
    <w:pPr>
      <w:ind w:firstLine="440"/>
      <w:spacing w:line="360" w:lineRule="auto"/>
      <w:widowControl/>
    </w:pPr>
    <w:rPr>
      <w:sz w:val="22"/>
      <w:szCs w:val="22"/>
      <w:lang w:val="de-DE"/>
    </w:rPr>
  </w:style>
  <w:style w:type="paragraph" w:styleId="888" w:customStyle="1">
    <w:name w:val="【正文】"/>
    <w:basedOn w:val="681"/>
    <w:uiPriority w:val="0"/>
    <w:qFormat/>
    <w:pPr>
      <w:ind w:firstLine="420"/>
      <w:spacing w:line="360" w:lineRule="auto"/>
    </w:pPr>
    <w:rPr>
      <w:rFonts w:cs="黑体"/>
      <w:sz w:val="24"/>
    </w:rPr>
  </w:style>
  <w:style w:type="paragraph" w:styleId="889" w:customStyle="1">
    <w:name w:val="样式 (西文) 宋体 小四 首行缩进:  0.95 厘米 段前: 5 磅 段后: 5 磅 行距: 1.5 倍行距"/>
    <w:basedOn w:val="681"/>
    <w:uiPriority w:val="0"/>
    <w:qFormat/>
    <w:pPr>
      <w:ind w:firstLine="540"/>
      <w:jc w:val="left"/>
      <w:spacing w:before="100" w:after="100" w:line="360" w:lineRule="auto"/>
      <w:widowControl/>
    </w:pPr>
    <w:rPr>
      <w:rFonts w:ascii="宋体" w:hAnsi="宋体" w:cs="宋体"/>
      <w:sz w:val="24"/>
      <w:szCs w:val="20"/>
    </w:rPr>
  </w:style>
  <w:style w:type="paragraph" w:styleId="890" w:customStyle="1">
    <w:name w:val="列表段落1"/>
    <w:basedOn w:val="681"/>
    <w:uiPriority w:val="0"/>
    <w:qFormat/>
    <w:pPr>
      <w:ind w:firstLine="420"/>
    </w:pPr>
  </w:style>
  <w:style w:type="paragraph" w:styleId="891" w:customStyle="1">
    <w:name w:val="179"/>
    <w:basedOn w:val="681"/>
    <w:uiPriority w:val="0"/>
    <w:qFormat/>
    <w:pPr>
      <w:ind w:firstLine="420"/>
    </w:pPr>
    <w:rPr>
      <w:sz w:val="28"/>
      <w:szCs w:val="20"/>
    </w:rPr>
  </w:style>
  <w:style w:type="paragraph" w:styleId="892" w:customStyle="1">
    <w:name w:val="_Style 12"/>
    <w:basedOn w:val="697"/>
    <w:uiPriority w:val="0"/>
    <w:qFormat/>
    <w:pPr>
      <w:spacing w:line="360" w:lineRule="auto"/>
      <w:shd w:val="clear" w:color="auto" w:fill="000080"/>
    </w:pPr>
    <w:rPr>
      <w:rFonts w:ascii="Times New Roman"/>
      <w:sz w:val="21"/>
      <w:szCs w:val="24"/>
    </w:rPr>
  </w:style>
  <w:style w:type="paragraph" w:styleId="893" w:customStyle="1">
    <w:name w:val="List Paragraph1"/>
    <w:basedOn w:val="681"/>
    <w:uiPriority w:val="34"/>
    <w:qFormat/>
    <w:pPr>
      <w:ind w:firstLine="420"/>
    </w:pPr>
  </w:style>
  <w:style w:type="paragraph" w:styleId="894" w:customStyle="1">
    <w:name w:val="正文2"/>
    <w:basedOn w:val="681"/>
    <w:uiPriority w:val="0"/>
    <w:qFormat/>
    <w:pPr>
      <w:ind w:firstLine="200"/>
      <w:jc w:val="left"/>
      <w:spacing w:after="160" w:line="360" w:lineRule="auto"/>
      <w:widowControl/>
    </w:pPr>
    <w:rPr>
      <w:szCs w:val="20"/>
    </w:rPr>
  </w:style>
  <w:style w:type="paragraph" w:styleId="895" w:customStyle="1">
    <w:name w:val="纯文本1"/>
    <w:basedOn w:val="681"/>
    <w:uiPriority w:val="0"/>
    <w:qFormat/>
    <w:rPr>
      <w:rFonts w:ascii="宋体" w:hAnsi="Courier New"/>
    </w:rPr>
  </w:style>
  <w:style w:type="paragraph" w:styleId="896" w:customStyle="1">
    <w:name w:val="正文文本缩进 2 + 仿宋_GB2312"/>
    <w:basedOn w:val="708"/>
    <w:uiPriority w:val="0"/>
    <w:qFormat/>
    <w:pPr>
      <w:numPr>
        <w:ilvl w:val="0"/>
        <w:numId w:val="1"/>
      </w:numPr>
      <w:ind w:left="-6" w:firstLine="0"/>
      <w:spacing w:line="360" w:lineRule="auto"/>
      <w:tabs>
        <w:tab w:val="left" w:pos="420" w:leader="none"/>
        <w:tab w:val="clear" w:pos="840" w:leader="none"/>
      </w:tabs>
    </w:pPr>
    <w:rPr>
      <w:rFonts w:ascii="仿宋_GB2312" w:hAnsi="宋体" w:eastAsia="仿宋_GB2312" w:cs="宋体"/>
      <w:bCs w:val="0"/>
      <w:color w:val="000000"/>
      <w:szCs w:val="24"/>
      <w:lang w:bidi="th-TH"/>
    </w:rPr>
  </w:style>
  <w:style w:type="paragraph" w:styleId="897" w:customStyle="1">
    <w:name w:val="列表段落11"/>
    <w:basedOn w:val="681"/>
    <w:uiPriority w:val="0"/>
    <w:qFormat/>
    <w:pPr>
      <w:ind w:firstLine="420"/>
    </w:pPr>
    <w:rPr>
      <w:rFonts w:eastAsia="等线"/>
    </w:rPr>
  </w:style>
  <w:style w:type="paragraph" w:styleId="898" w:customStyle="1">
    <w:name w:val="+正文"/>
    <w:basedOn w:val="681"/>
    <w:uiPriority w:val="99"/>
    <w:qFormat/>
    <w:pPr>
      <w:ind w:firstLine="200"/>
      <w:spacing w:line="360" w:lineRule="auto"/>
    </w:pPr>
    <w:rPr>
      <w:rFonts w:ascii="Times New Roman" w:hAnsi="Times New Roman"/>
      <w:sz w:val="24"/>
      <w:szCs w:val="28"/>
    </w:rPr>
  </w:style>
  <w:style w:type="paragraph" w:styleId="899">
    <w:name w:val="List Paragraph"/>
    <w:basedOn w:val="681"/>
    <w:uiPriority w:val="34"/>
    <w:qFormat/>
    <w:pPr>
      <w:ind w:firstLine="420"/>
    </w:pPr>
    <w:rPr>
      <w:sz w:val="28"/>
      <w:szCs w:val="20"/>
    </w:rPr>
  </w:style>
  <w:style w:type="paragraph" w:styleId="900" w:customStyle="1">
    <w:name w:val="p0"/>
    <w:basedOn w:val="681"/>
    <w:uiPriority w:val="0"/>
    <w:qFormat/>
    <w:pPr>
      <w:widowControl/>
    </w:pPr>
    <w:rPr>
      <w:szCs w:val="21"/>
    </w:rPr>
  </w:style>
  <w:style w:type="paragraph" w:styleId="901" w:customStyle="1">
    <w:name w:val="列出段落1"/>
    <w:basedOn w:val="681"/>
    <w:uiPriority w:val="34"/>
    <w:qFormat/>
    <w:pPr>
      <w:ind w:firstLine="420"/>
    </w:pPr>
    <w:rPr>
      <w:rFonts w:ascii="Times New Roman" w:hAnsi="Times New Roman"/>
    </w:rPr>
  </w:style>
  <w:style w:type="paragraph" w:styleId="902" w:customStyle="1">
    <w:name w:val="Char Char Char Char Char Char Char Char Char Char Char Char Char"/>
    <w:basedOn w:val="681"/>
    <w:uiPriority w:val="0"/>
    <w:qFormat/>
    <w:pPr>
      <w:ind w:firstLine="480"/>
      <w:spacing w:line="360" w:lineRule="auto"/>
    </w:pPr>
    <w:rPr>
      <w:rFonts w:hAnsi="宋体"/>
      <w:color w:val="000000"/>
      <w:sz w:val="18"/>
      <w:szCs w:val="18"/>
    </w:rPr>
  </w:style>
  <w:style w:type="paragraph" w:styleId="903" w:customStyle="1">
    <w:name w:val="纯文本2"/>
    <w:basedOn w:val="681"/>
    <w:uiPriority w:val="0"/>
    <w:qFormat/>
    <w:rPr>
      <w:rFonts w:hint="eastAsia" w:ascii="宋体" w:hAnsi="Courier New" w:eastAsia="楷体_GB2312"/>
      <w:sz w:val="28"/>
      <w:szCs w:val="20"/>
    </w:rPr>
  </w:style>
  <w:style w:type="paragraph" w:styleId="904"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905" w:customStyle="1">
    <w:name w:val="正文 A"/>
    <w:uiPriority w:val="0"/>
    <w:qFormat/>
    <w:pPr>
      <w:jc w:val="both"/>
      <w:widowControl w:val="off"/>
      <w:framePr w:wrap="around" w:vAnchor="margin" w:hAnchor="text" w:yAlign="top"/>
    </w:pPr>
    <w:rPr>
      <w:rFonts w:hint="default" w:ascii="Calibri" w:hAnsi="Arial Unicode MS" w:eastAsia="Arial Unicode MS" w:cs="Arial Unicode MS"/>
      <w:color w:val="000000"/>
      <w:sz w:val="21"/>
      <w:szCs w:val="21"/>
      <w:lang w:val="en-US" w:eastAsia="zh-CN" w:bidi="ar-SA"/>
    </w:rPr>
  </w:style>
  <w:style w:type="paragraph" w:styleId="906" w:customStyle="1">
    <w:name w:val="dt2"/>
    <w:basedOn w:val="681"/>
    <w:uiPriority w:val="0"/>
    <w:qFormat/>
    <w:pPr>
      <w:jc w:val="left"/>
    </w:pPr>
  </w:style>
  <w:style w:type="paragraph" w:styleId="907" w:customStyle="1">
    <w:name w:val="111111"/>
    <w:basedOn w:val="681"/>
    <w:uiPriority w:val="0"/>
    <w:qFormat/>
    <w:pPr>
      <w:jc w:val="center"/>
      <w:spacing w:before="120" w:after="120"/>
    </w:pPr>
    <w:rPr>
      <w:rFonts w:ascii="宋体" w:hAnsi="宋体" w:eastAsia="黑体"/>
      <w:b/>
      <w:bCs/>
      <w:szCs w:val="21"/>
    </w:rPr>
  </w:style>
  <w:style w:type="character" w:styleId="908" w:customStyle="1">
    <w:name w:val="标题 1 字符"/>
    <w:link w:val="682"/>
    <w:uiPriority w:val="0"/>
    <w:qFormat/>
    <w:rPr>
      <w:rFonts w:ascii="宋体" w:hAnsi="宋体" w:eastAsia="宋体"/>
      <w:b/>
      <w:sz w:val="24"/>
      <w:lang w:val="en-US" w:eastAsia="zh-CN" w:bidi="ar-SA"/>
    </w:rPr>
  </w:style>
  <w:style w:type="character" w:styleId="909" w:customStyle="1">
    <w:name w:val="批注文字 字符"/>
    <w:link w:val="698"/>
    <w:uiPriority w:val="0"/>
    <w:qFormat/>
    <w:rPr>
      <w:sz w:val="21"/>
      <w:szCs w:val="24"/>
    </w:rPr>
  </w:style>
  <w:style w:type="character" w:styleId="910" w:customStyle="1">
    <w:name w:val="标题 6 字符"/>
    <w:link w:val="687"/>
    <w:uiPriority w:val="0"/>
    <w:qFormat/>
    <w:rPr>
      <w:rFonts w:ascii="Arial" w:hAnsi="Arial" w:eastAsia="黑体"/>
      <w:b/>
      <w:bCs/>
      <w:sz w:val="24"/>
      <w:szCs w:val="24"/>
    </w:rPr>
  </w:style>
  <w:style w:type="character" w:styleId="911" w:customStyle="1">
    <w:name w:val="Char Char1"/>
    <w:uiPriority w:val="0"/>
    <w:qFormat/>
    <w:rPr>
      <w:rFonts w:ascii="宋体" w:hAnsi="Courier New"/>
      <w:szCs w:val="20"/>
    </w:rPr>
  </w:style>
  <w:style w:type="character" w:styleId="912" w:customStyle="1">
    <w:name w:val="style4"/>
    <w:basedOn w:val="691"/>
    <w:uiPriority w:val="0"/>
    <w:qFormat/>
  </w:style>
  <w:style w:type="character" w:styleId="913" w:customStyle="1">
    <w:name w:val="纯文本 字符"/>
    <w:link w:val="705"/>
    <w:uiPriority w:val="0"/>
    <w:qFormat/>
    <w:rPr>
      <w:rFonts w:ascii="宋体" w:hAnsi="Courier New" w:eastAsia="楷体_GB2312"/>
      <w:sz w:val="28"/>
    </w:rPr>
  </w:style>
  <w:style w:type="character" w:styleId="914" w:customStyle="1">
    <w:name w:val="批注主题 字符"/>
    <w:link w:val="725"/>
    <w:uiPriority w:val="0"/>
    <w:qFormat/>
    <w:rPr>
      <w:b/>
      <w:bCs/>
      <w:sz w:val="21"/>
      <w:szCs w:val="24"/>
    </w:rPr>
  </w:style>
  <w:style w:type="character" w:styleId="915" w:customStyle="1">
    <w:name w:val="文档结构图 字符"/>
    <w:link w:val="697"/>
    <w:uiPriority w:val="0"/>
    <w:qFormat/>
    <w:rPr>
      <w:rFonts w:ascii="宋体"/>
      <w:sz w:val="18"/>
      <w:szCs w:val="18"/>
    </w:rPr>
  </w:style>
  <w:style w:type="character" w:styleId="916" w:customStyle="1">
    <w:name w:val="标题 2 字符"/>
    <w:link w:val="683"/>
    <w:uiPriority w:val="0"/>
    <w:qFormat/>
    <w:rPr>
      <w:rFonts w:ascii="Arial" w:hAnsi="Arial" w:eastAsia="黑体"/>
      <w:b/>
      <w:bCs/>
      <w:sz w:val="32"/>
      <w:szCs w:val="32"/>
      <w:lang w:val="en-US" w:eastAsia="zh-CN" w:bidi="ar-SA"/>
    </w:rPr>
  </w:style>
  <w:style w:type="character" w:styleId="917" w:customStyle="1">
    <w:name w:val="fontstyle01"/>
    <w:uiPriority w:val="0"/>
    <w:qFormat/>
    <w:rPr>
      <w:rFonts w:ascii="宋体" w:hAnsi="宋体" w:eastAsia="宋体" w:cs="宋体"/>
      <w:color w:val="000000"/>
      <w:sz w:val="24"/>
      <w:szCs w:val="24"/>
    </w:rPr>
  </w:style>
  <w:style w:type="character" w:styleId="918" w:customStyle="1">
    <w:name w:val="NormalCharacter"/>
    <w:uiPriority w:val="0"/>
    <w:qFormat/>
  </w:style>
  <w:style w:type="character" w:styleId="919" w:customStyle="1">
    <w:name w:val="font11"/>
    <w:uiPriority w:val="0"/>
    <w:qFormat/>
    <w:rPr>
      <w:rFonts w:hint="eastAsia" w:ascii="宋体" w:hAnsi="宋体" w:eastAsia="宋体" w:cs="宋体"/>
      <w:color w:val="000000"/>
      <w:sz w:val="20"/>
      <w:szCs w:val="20"/>
      <w:u w:val="none"/>
    </w:rPr>
  </w:style>
  <w:style w:type="character" w:styleId="920" w:customStyle="1">
    <w:name w:val="font01"/>
    <w:uiPriority w:val="0"/>
    <w:qFormat/>
    <w:rPr>
      <w:rFonts w:hint="eastAsia" w:ascii="宋体" w:hAnsi="宋体" w:eastAsia="宋体" w:cs="宋体"/>
      <w:b/>
      <w:color w:val="ff0000"/>
      <w:sz w:val="22"/>
      <w:szCs w:val="22"/>
      <w:u w:val="none"/>
    </w:rPr>
  </w:style>
  <w:style w:type="paragraph" w:styleId="921" w:customStyle="1">
    <w:name w:val="标题 21"/>
    <w:next w:val="905"/>
    <w:uiPriority w:val="99"/>
    <w:qFormat/>
    <w:pPr>
      <w:jc w:val="both"/>
      <w:keepLines/>
      <w:keepNext/>
      <w:spacing w:before="260" w:after="260" w:line="413" w:lineRule="auto"/>
      <w:widowControl w:val="off"/>
      <w:framePr w:wrap="around" w:vAnchor="margin" w:hAnchor="text" w:y="1"/>
      <w:outlineLvl w:val="1"/>
    </w:pPr>
    <w:rPr>
      <w:rFonts w:hint="default" w:ascii="Arial Unicode MS" w:hAnsi="Arial Unicode MS" w:eastAsia="Arial Unicode MS" w:cs="Arial Unicode MS"/>
      <w:color w:val="000000"/>
      <w:sz w:val="32"/>
      <w:szCs w:val="32"/>
      <w:lang w:val="en-US" w:eastAsia="zh-CN" w:bidi="ar-SA"/>
    </w:rPr>
  </w:style>
  <w:style w:type="paragraph" w:styleId="922" w:customStyle="1">
    <w:name w:val="正文缩进 Char Char"/>
    <w:basedOn w:val="681"/>
    <w:uiPriority w:val="0"/>
    <w:qFormat/>
    <w:pPr>
      <w:ind w:firstLine="420"/>
    </w:pPr>
  </w:style>
  <w:style w:type="paragraph" w:styleId="923" w:customStyle="1">
    <w:name w:val="Table Paragraph"/>
    <w:basedOn w:val="681"/>
    <w:uiPriority w:val="1"/>
    <w:qFormat/>
    <w:rPr>
      <w:sz w:val="26"/>
      <w:szCs w:val="20"/>
      <w:lang w:val="zh-CN" w:bidi="zh-CN"/>
    </w:rPr>
  </w:style>
  <w:style w:type="paragraph" w:styleId="924" w:customStyle="1">
    <w:name w:val="纯文本3"/>
    <w:basedOn w:val="681"/>
    <w:uiPriority w:val="0"/>
    <w:qFormat/>
    <w:rPr>
      <w:rFonts w:ascii="宋体" w:hAnsi="Courier New" w:eastAsia="楷体_GB2312"/>
      <w:sz w:val="26"/>
      <w:szCs w:val="20"/>
    </w:rPr>
  </w:style>
  <w:style w:type="paragraph" w:styleId="925" w:customStyle="1">
    <w:name w:val="p25"/>
    <w:basedOn w:val="681"/>
    <w:uiPriority w:val="0"/>
    <w:qFormat/>
    <w:rPr>
      <w:rFonts w:ascii="黑体" w:hAnsi="黑体" w:cs="黑体"/>
      <w:szCs w:val="26"/>
    </w:rPr>
  </w:style>
  <w:style w:type="paragraph" w:styleId="926" w:customStyle="1">
    <w:name w:val="纯文本111"/>
    <w:basedOn w:val="681"/>
    <w:uiPriority w:val="0"/>
    <w:qFormat/>
    <w:rPr>
      <w:rFonts w:ascii="宋体" w:hAnsi="Courier New"/>
      <w:sz w:val="28"/>
      <w:szCs w:val="28"/>
    </w:rPr>
  </w:style>
  <w:style w:type="paragraph" w:styleId="927" w:customStyle="1">
    <w:name w:val="纯文本21"/>
    <w:basedOn w:val="681"/>
    <w:uiPriority w:val="0"/>
    <w:qFormat/>
    <w:rPr>
      <w:rFonts w:hint="eastAsia" w:ascii="宋体" w:hAnsi="Courier New" w:eastAsia="楷体_GB2312"/>
      <w:sz w:val="28"/>
    </w:rPr>
  </w:style>
  <w:style w:type="paragraph" w:styleId="928" w:customStyle="1">
    <w:name w:val="正文1"/>
    <w:next w:val="681"/>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929" w:customStyle="1">
    <w:name w:val="font21"/>
    <w:uiPriority w:val="0"/>
    <w:qFormat/>
    <w:rPr>
      <w:rFonts w:hint="eastAsia" w:ascii="宋体" w:hAnsi="宋体" w:eastAsia="宋体" w:cs="宋体"/>
      <w:b/>
      <w:color w:val="000000"/>
      <w:sz w:val="20"/>
      <w:szCs w:val="20"/>
      <w:u w:val="none"/>
    </w:rPr>
  </w:style>
  <w:style w:type="character" w:styleId="930" w:customStyle="1">
    <w:name w:val="font91"/>
    <w:uiPriority w:val="0"/>
    <w:qFormat/>
    <w:rPr>
      <w:rFonts w:ascii="Calibri" w:hAnsi="Calibri" w:cs="Calibri"/>
      <w:b/>
      <w:color w:val="000000"/>
      <w:sz w:val="20"/>
      <w:szCs w:val="20"/>
      <w:u w:val="none"/>
    </w:rPr>
  </w:style>
  <w:style w:type="character" w:styleId="931" w:customStyle="1">
    <w:name w:val="font71"/>
    <w:uiPriority w:val="0"/>
    <w:qFormat/>
    <w:rPr>
      <w:rFonts w:hint="eastAsia" w:ascii="宋体" w:hAnsi="宋体" w:eastAsia="宋体" w:cs="宋体"/>
      <w:color w:val="000000"/>
      <w:sz w:val="20"/>
      <w:szCs w:val="20"/>
      <w:u w:val="none"/>
    </w:rPr>
  </w:style>
  <w:style w:type="paragraph" w:styleId="932" w:customStyle="1">
    <w:name w:val="正文文本缩进1"/>
    <w:basedOn w:val="681"/>
    <w:next w:val="681"/>
    <w:uiPriority w:val="99"/>
    <w:unhideWhenUsed/>
    <w:qFormat/>
    <w:pPr>
      <w:ind w:left="420" w:firstLine="1188"/>
      <w:spacing w:line="360" w:lineRule="exact"/>
    </w:pPr>
    <w:rPr>
      <w:rFonts w:ascii="Times New Roman" w:hAnsi="Times New Roman" w:eastAsia="宋体" w:cs="Times New Roman"/>
    </w:rPr>
  </w:style>
  <w:style w:type="paragraph" w:styleId="933" w:customStyle="1">
    <w:name w:val="正文文本缩进 31"/>
    <w:basedOn w:val="681"/>
    <w:next w:val="934"/>
    <w:uiPriority w:val="99"/>
    <w:unhideWhenUsed/>
    <w:qFormat/>
    <w:pPr>
      <w:ind w:firstLine="480"/>
      <w:jc w:val="left"/>
      <w:spacing w:line="440" w:lineRule="atLeast"/>
    </w:pPr>
    <w:rPr>
      <w:rFonts w:ascii="Times New Roman" w:hAnsi="Times New Roman" w:eastAsia="宋体" w:cs="Times New Roman"/>
      <w:sz w:val="24"/>
    </w:rPr>
  </w:style>
  <w:style w:type="paragraph" w:styleId="934" w:customStyle="1">
    <w:name w:val="目录 61"/>
    <w:basedOn w:val="935"/>
    <w:next w:val="681"/>
    <w:uiPriority w:val="39"/>
    <w:unhideWhenUsed/>
    <w:qFormat/>
    <w:pPr>
      <w:ind w:left="1400" w:firstLine="3784"/>
      <w:spacing w:before="0" w:after="0" w:line="360" w:lineRule="auto"/>
      <w:widowControl/>
    </w:pPr>
    <w:rPr>
      <w:rFonts w:ascii="Times New Roman" w:hAnsi="Times New Roman" w:eastAsia="宋体" w:cs="Times New Roman"/>
      <w:sz w:val="20"/>
      <w:szCs w:val="20"/>
    </w:rPr>
  </w:style>
  <w:style w:type="paragraph" w:styleId="935" w:customStyle="1">
    <w:name w:val="标题 11"/>
    <w:basedOn w:val="681"/>
    <w:next w:val="681"/>
    <w:uiPriority w:val="9"/>
    <w:qFormat/>
    <w:pPr>
      <w:keepLines/>
      <w:keepNext/>
      <w:spacing w:before="340" w:after="330" w:line="578" w:lineRule="auto"/>
      <w:outlineLvl w:val="0"/>
    </w:pPr>
    <w:rPr>
      <w:rFonts w:eastAsia="宋体"/>
      <w:b/>
      <w:bCs/>
      <w:sz w:val="44"/>
      <w:szCs w:val="44"/>
    </w:rPr>
  </w:style>
  <w:style w:type="paragraph" w:styleId="936" w:customStyle="1">
    <w:name w:val="普通(网站)1"/>
    <w:basedOn w:val="681"/>
    <w:uiPriority w:val="99"/>
    <w:unhideWhenUsed/>
    <w:qFormat/>
    <w:pPr>
      <w:jc w:val="left"/>
      <w:spacing w:before="100" w:beforeAutospacing="1" w:after="100" w:afterAutospacing="1"/>
      <w:widowControl/>
    </w:pPr>
    <w:rPr>
      <w:rFonts w:ascii="宋体" w:hAnsi="宋体" w:cs="宋体"/>
      <w:sz w:val="24"/>
    </w:rPr>
  </w:style>
  <w:style w:type="paragraph" w:styleId="937" w:customStyle="1">
    <w:name w:val="纯文本5"/>
    <w:basedOn w:val="681"/>
    <w:uiPriority w:val="0"/>
    <w:qFormat/>
    <w:rPr>
      <w:rFonts w:hint="eastAsia" w:ascii="宋体" w:hAnsi="Courier New" w:eastAsia="楷体_GB2312"/>
      <w:sz w:val="28"/>
      <w:szCs w:val="20"/>
    </w:rPr>
  </w:style>
  <w:style w:type="paragraph" w:styleId="938" w:customStyle="1">
    <w:name w:val="页眉1"/>
    <w:basedOn w:val="681"/>
    <w:uiPriority w:val="0"/>
    <w:qFormat/>
    <w:pPr>
      <w:jc w:val="center"/>
      <w:tabs>
        <w:tab w:val="center" w:pos="4153" w:leader="none"/>
        <w:tab w:val="right" w:pos="8306" w:leader="none"/>
      </w:tabs>
      <w:pBdr>
        <w:bottom w:val="single" w:color="000000" w:sz="6" w:space="1"/>
      </w:pBdr>
    </w:pPr>
    <w:rPr>
      <w:sz w:val="18"/>
      <w:szCs w:val="18"/>
    </w:rPr>
  </w:style>
  <w:style w:type="paragraph" w:styleId="939" w:customStyle="1">
    <w:name w:val="页脚1"/>
    <w:basedOn w:val="681"/>
    <w:uiPriority w:val="0"/>
    <w:qFormat/>
    <w:pPr>
      <w:jc w:val="left"/>
      <w:tabs>
        <w:tab w:val="center" w:pos="4153" w:leader="none"/>
        <w:tab w:val="right" w:pos="8306" w:leader="none"/>
      </w:tabs>
    </w:pPr>
    <w:rPr>
      <w:sz w:val="18"/>
      <w:szCs w:val="18"/>
    </w:rPr>
  </w:style>
  <w:style w:type="paragraph" w:styleId="940" w:customStyle="1">
    <w:name w:val="TableOfAuthoring"/>
    <w:basedOn w:val="681"/>
    <w:next w:val="681"/>
    <w:uiPriority w:val="0"/>
    <w:qFormat/>
    <w:pPr>
      <w:ind w:left="420"/>
    </w:pPr>
    <w:rPr>
      <w:rFonts w:ascii="Calibri" w:hAnsi="Calibri" w:eastAsia="楷体_GB2312"/>
      <w:szCs w:val="24"/>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房仁珺</cp:lastModifiedBy>
  <cp:revision>19</cp:revision>
  <dcterms:created xsi:type="dcterms:W3CDTF">2021-12-28T08:23:00Z</dcterms:created>
  <dcterms:modified xsi:type="dcterms:W3CDTF">2026-01-09T07:02:25Z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B9CBB5DC706C4108AB2438F0F87A64FC_13</vt:lpwstr>
  </property>
  <property fmtid="{D5CDD505-2E9C-101B-9397-08002B2CF9AE}" pid="4" name="KSOTemplateDocerSaveRecord">
    <vt:lpwstr>eyJoZGlkIjoiMzk2NThkYmM1MzUzYjczNWNmYjBkMWYxNmEzZGE3MTYiLCJ1c2VySWQiOiIyMjM3MjI3NjMifQ==</vt:lpwstr>
  </property>
</Properties>
</file>